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ovoitpc9f-api9k76l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декабря 2019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2018 года № 529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Налоговый кодекс Кыргызской Республики и Закон Кыргызской Республики "О статусе судебных исполнителей и об исполнительном производстве")"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 </w:t>
      </w:r>
      <w:r>
        <w:rPr>
          <w:rFonts w:ascii="Arial" w:cs="Arial" w:eastAsia="Arial" w:hAnsi="Arial"/>
          <w:sz w:val="24"/>
          <w:szCs w:val="24"/>
        </w:rPr>
        <w:t xml:space="preserve">и частью 2 </w:t>
      </w:r>
      <w:r>
        <w:rPr>
          <w:rFonts w:ascii="Arial" w:cs="Arial" w:eastAsia="Arial" w:hAnsi="Arial"/>
          <w:sz w:val="24"/>
          <w:szCs w:val="24"/>
        </w:rPr>
        <w:t xml:space="preserve">статьи 80 </w:t>
      </w:r>
      <w:hyperlink w:history="1" r:id="rIdvgrgy5ml8i0cupopifw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ho8bvq7zhca8_tlvwf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kukewdw7dwjrkkw-tlm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34uq7i2izp4eyccxj6o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m5ph3uu4hywbwyxdj6j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юстиции Кыргызской Республики, министра экономики Кыргызской Республики и директора Судебного департамента при Верховном суде Кыргызской Республики (по согласованию)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Налоговый кодекс Кыргызской Республики и Закон Кыргызской Республики "О статусе судебных исполнителей и об исполнительном производстве")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203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Срок действия доверенности не может превышать трех лет, кроме доверенности с правом отчуждения автотранспортных средств, срок действия которой не может превышать трех месяцев. Если срок в доверенности не указан, за исключением доверенности с правом отчуждения автотранспортных средств, она сохраняет силу в течение одного года со дня ее совершения.".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части 1 статьи 332 слова ", а также при полной или частичной передаче прав собственности на объект имущества в течение года новым владельцем объекта имущества в момент оформления такой передачи"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судебных исполнителей и об исполнительном производстве (газета "Эркин Тоо" от 7 февраля 2017 года № 15-16)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постановления по делу о нарушении с приложением материалов, полученных с применением работающих в автоматическом режиме сертифицированных специальных контрольно-измерительных технических средств, имеющих функции фото- и киносъемки, видеозаписи, оформляемому в форме электронного документа, юридическая сила которого подтверждается электронной подписью должностного лица, уполномоченного рассматривать дела о нарушениях;";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"Копии исполнительными документами не являются, кроме случаев, предусмотренных пунктом 6-1 части 1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40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исполнения исполнительных документов о наложении взыскания подлежит исполнению в соответствии с Кодексом Кыргызской Республики о 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ovoitpc9f-api9k76l-6" Type="http://schemas.openxmlformats.org/officeDocument/2006/relationships/hyperlink" Target="http://kodeks.duckdns.org/document/157363" TargetMode="External"/><Relationship Id="rIdvgrgy5ml8i0cupopifwm2" Type="http://schemas.openxmlformats.org/officeDocument/2006/relationships/hyperlink" Target="http://kodeks.duckdns.org/document/202913" TargetMode="External"/><Relationship Id="rId-ho8bvq7zhca8_tlvwfcz" Type="http://schemas.openxmlformats.org/officeDocument/2006/relationships/hyperlink" Target="http://kodeks.duckdns.org/document/12718#p1" TargetMode="External"/><Relationship Id="rIdkukewdw7dwjrkkw-tlm2g" Type="http://schemas.openxmlformats.org/officeDocument/2006/relationships/hyperlink" Target="http://kodeks.duckdns.org/document/4" TargetMode="External"/><Relationship Id="rId34uq7i2izp4eyccxj6orb" Type="http://schemas.openxmlformats.org/officeDocument/2006/relationships/hyperlink" Target="http://kodeks.duckdns.org/document/202445" TargetMode="External"/><Relationship Id="rIdm5ph3uu4hywbwyxdj6jf8" Type="http://schemas.openxmlformats.org/officeDocument/2006/relationships/hyperlink" Target="http://kodeks.duckdns.org/document/11152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2026-09-23T04:48:45.127Z</dcterms:created>
  <dcterms:modified xsi:type="dcterms:W3CDTF">2026-09-23T04:48:45.127Z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