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w7f1krx942wk1ygow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начального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qfl68pbsy5qlcro0o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ahrmkcookbhpsmd1q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wzswkjyg45huwly9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профессиональных лицеев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xh86qgtnijbmlesq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государственных профессиональных лицеев Кыргызской Республики в расчете на одного учащегося на 2018 год (далее - Типовые нормативы)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_tc2uf-m6vygp_ouw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профессиональных лицеев Кыргызской Республики в условиях нормативного финансирования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xpbqbutl9b2bpisy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профессиональных лицеев Кыргызской Республики, на которые не распространяется механизм нормативного финансирования,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государственных профессиональных лицеев, за исключением государственных профессиональных лицеев, указанных в </w:t>
      </w:r>
      <w:hyperlink w:history="1" r:id="rId7id3_y2u02uwkthym2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согласно Типовым нормативам, утвержденным пунктом 1 настоящего постановления, численности учащихся, и утверждаются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профессиональные лицеи в условиях нормативного финансирования могут создавать стимулирующий фонд заработной платы в пределах утвержденного бюджета, рассчитанного согласно численности учащихся и </w:t>
      </w:r>
      <w:hyperlink w:history="1" r:id="rIdu6t4gv1avjzenshx0g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 При этом, средства стимулирующего фонда заработной платы направляются на материальное стимулирование персонала государственных профессиональных лицеев за результаты и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штатной численности работников государственных профессиональных лицеев в условиях нормативного финансирования производится в пределах утвержденного бюджета, рассчитанного согласно численности учащихся и </w:t>
      </w:r>
      <w:hyperlink w:history="1" r:id="rIdsxmvegwl8fnm1zzfewj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покрытия расходов, связанных с оплатой коммунальных услуг государственных профессиональных лицеев № 20, 91, 94 города Бишкек, применяется повышающий коэффициент 2,5, учитывающий повышенные тарифы на тепловую энергию для бюджетных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fstmybgha4n0ti9u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пунктом 1 настоящего постановления, пересматриваются при изменении условий финансирования государственных профессиональных лицеев, рассчитываются Агентством начального профессионального образования при Министерстве образования и науки Кыргызской Республики совместно с Министерством финансов Кыргызской Республики и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приступить к внедрению нормативного финансирования в государственных профессиональных лицеях Кыргызской Республики с 1 ноября 2018 года в соответствии с </w:t>
      </w:r>
      <w:hyperlink w:history="1" r:id="rIdsbn6puv8znvezcw40lt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руководителей и работников государственных профессиональных лицеев по вопросам внедрения нормативного финансирования в государственных профессиональных лицеях;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2018 года подготовить информационно-статистическую базу контингента учащихся по профессиям, срокам обучения и группам подготовки рабочих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среди населения о нормативном финансировании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руководителям государственных профессиональных лицеев, переведенных на нормативное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расписание, исходя из производственной необходимости, и вводить в штатное расписание вместо одних должностей, предусмотренных типовыми штатами, другие необходимые должности в пределах общего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покрытие расходов, связанных с приобретением учебных материалов, и стимулирование труда работников государственных профессиональных лицеев средства, сэкономленные или высвобождаемые в результате оптимизации организационной структуры и штатов.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2018 года N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
 бюджетного финансирования государственных профессиональных лицеев Кыргызской Республики в расчете на одного учащегося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5109"/>
        <w:gridCol w:w="770"/>
        <w:gridCol w:w="770"/>
        <w:gridCol w:w="770"/>
        <w:gridCol w:w="770"/>
        <w:gridCol w:w="770"/>
        <w:gridCol w:w="770"/>
      </w:tblGrid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и статей экономической классификации</w:t>
            </w:r>
          </w:p>
        </w:tc>
        <w:tc>
          <w:tcPr>
            <w:tcW w:type="dxa" w:w="46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5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23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курс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курс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Нормативы бюджетного финансирования для учебных групп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Для государственных профессиональных лицеев, расположенных в городской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38171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28313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35241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35713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20899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Для государственных профессиональных лицеев, расположенных в сельской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42794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34112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45213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35568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34329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46528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41679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42365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31992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27362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Нормативы бюджетного финансирования для реабилитационных групп и детей-сирот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Для государственных профессиональных лицеев, расположенных в городской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112902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116020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110477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109523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114654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115862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107321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109164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116376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116428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119572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109287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109475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108373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116664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Выходное пособие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коммунальных услуг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Для государственных профессиональных лицеев, расположенных в сельской местности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Нормативы бюджетного финансирования на 1 учащегося по профессиям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128139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121529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123236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131257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122762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125838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134432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129891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131099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134879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130338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121449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136154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131613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131665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120991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123701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124035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131901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стипендий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Выходное пособие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коммунальные услуги по видам отопления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расходные материалы по профессиям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 и сетей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потребность в учебных расходных материалах по профессии "Сельское хозяйство и перерабатывающая промышленность", по специа</w:t>
      </w:r>
      <w:r>
        <w:rPr>
          <w:rFonts w:ascii="Arial" w:cs="Arial" w:eastAsia="Arial" w:hAnsi="Arial"/>
          <w:sz w:val="24"/>
          <w:szCs w:val="24"/>
        </w:rPr>
        <w:t xml:space="preserve">льности "Цветовод-декоратор" корректируется на повышающий коэффициент 2,0.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профессиональных лицеев Кыргызской Республики, на которые не распространяется механизм нормативного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553"/>
        <w:gridCol w:w="4026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лицей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район, с.Чаек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район, с.Ат-Баши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с.Кара-Тоо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район, с.Ленина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район, с.Каныш-Кыя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район, с.Кербен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район, с.Кызыл-Жар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район, с.Кыргыз-Ата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район, с.Алтымыш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tbzs0fx99sbx19m5g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dalil.kg/document/12744</w:t>
      </w:r>
    </w:hyperlink>
  </w:p>
  <w:p>
    <w:pPr>
      <w:spacing w:after="0" w:before="40"/>
      <w:jc w:val="center"/>
    </w:pPr>
    <w:hyperlink w:history="1" r:id="rIdixqk1x3j2_4dj6z7ac1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7f1krx942wk1ygowhrt" Type="http://schemas.openxmlformats.org/officeDocument/2006/relationships/hyperlink" Target="https://dalil.kg/document/230006351" TargetMode="External"/><Relationship Id="rId0qfl68pbsy5qlcro0oo-p" Type="http://schemas.openxmlformats.org/officeDocument/2006/relationships/hyperlink" Target="https://dalil.kg/document/1216" TargetMode="External"/><Relationship Id="rId1ahrmkcookbhpsmd1qoyo" Type="http://schemas.openxmlformats.org/officeDocument/2006/relationships/hyperlink" Target="https://dalil.kg/document/203685" TargetMode="External"/><Relationship Id="rId4xwzswkjyg45huwly9sun" Type="http://schemas.openxmlformats.org/officeDocument/2006/relationships/hyperlink" Target="https://dalil.kg/document/12745" TargetMode="External"/><Relationship Id="rIdnkxh86qgtnijbmlesqb4l" Type="http://schemas.openxmlformats.org/officeDocument/2006/relationships/hyperlink" Target="https://dalil.kg/document/12744#p2" TargetMode="External"/><Relationship Id="rId9_tc2uf-m6vygp_ouwpcd" Type="http://schemas.openxmlformats.org/officeDocument/2006/relationships/hyperlink" Target="https://dalil.kg/document/12746" TargetMode="External"/><Relationship Id="rIdvaxpbqbutl9b2bpisyzzn" Type="http://schemas.openxmlformats.org/officeDocument/2006/relationships/hyperlink" Target="https://dalil.kg/document/12744#p4" TargetMode="External"/><Relationship Id="rId7id3_y2u02uwkthym2fth" Type="http://schemas.openxmlformats.org/officeDocument/2006/relationships/hyperlink" Target="https://dalil.kg/document/12744#p4" TargetMode="External"/><Relationship Id="rIdu6t4gv1avjzenshx0geqb" Type="http://schemas.openxmlformats.org/officeDocument/2006/relationships/hyperlink" Target="https://dalil.kg/document/12744#p2" TargetMode="External"/><Relationship Id="rIdsxmvegwl8fnm1zzfewjwk" Type="http://schemas.openxmlformats.org/officeDocument/2006/relationships/hyperlink" Target="https://dalil.kg/document/12744#p2" TargetMode="External"/><Relationship Id="rIdmbfstmybgha4n0ti9umv_" Type="http://schemas.openxmlformats.org/officeDocument/2006/relationships/hyperlink" Target="https://dalil.kg/document/12744#p2" TargetMode="External"/><Relationship Id="rIdsbn6puv8znvezcw40ltb1" Type="http://schemas.openxmlformats.org/officeDocument/2006/relationships/hyperlink" Target="https://dalil.kg/document/12744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tbzs0fx99sbx19m5gc0" Type="http://schemas.openxmlformats.org/officeDocument/2006/relationships/hyperlink" Target="https://dalil.kg/document/12744" TargetMode="External"/><Relationship Id="rIdixqk1x3j2_4dj6z7ac1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2026-09-23T17:46:09.807Z</dcterms:created>
  <dcterms:modified xsi:type="dcterms:W3CDTF">2026-09-23T17:46:09.807Z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