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-pgy_agka_tthql7qe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определения типовых нормативов бюджетного финансирования государственных профессиональных лицеев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utnjmanyg6bwtsikon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определяет типовые нормативы бюджетного финансирования государственных профессиональных лицеев Кыргызской Республики в расчете на одного учащегося на 2018 год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бюджетного финансирования (далее - нормативы расходов) государственных профессиональных лицеев - это совокупность требований к уровню, содержанию и качеству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нормативов расходов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Нормативы расходов включают текущие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расходные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стипендий;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выходное пособие;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текущего ремонта государственных профессиональных лицеев при подготовке к новому учебному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нормативов расходов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программам начального профессионального образования со сроками обучения - 10 месяцев, 2 года, 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основным профессиям подготовки рабочих кадров, сгруппированным согласно Перечню профессий, по которым ведется обучение в образовательных организациях начального профессионального образования (далее - профессии), утвержденному </w:t>
      </w:r>
      <w:hyperlink w:history="1" r:id="rIdehwodo2zlcyog8b66i5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2003 года № 473.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нормативах расходов на учебные расходные материалы учитываются фактически сложившиеся затраты на приобретение учебных и расходных материалов по основным профессиям.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Нормативы расходов для учащихся реабилитационных групп и детей-сирот рассчитываются с учетом особенностей оплаты труда преподавателей и мастеров производственного обучения, наполняемости групп, повышенных размеров стипендии и норм питания учащихся.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Расчет нормативов расходов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Расчет норматива расходов на оплату труда работников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норматива расходов на оплату труда работников государственных профессиональных лицеев производится в соответствии с законодательством Кыргызской Республики, регулирующим условия оплаты труда некоторых категорий работников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annokbyehxfk2-zsqu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Норматив расходов на оплату труда работников государственных профессиональных лицеев определяется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часов по общеобразовательной и профессиональной подготовке согласно государственным образовательным стандартам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стоимость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наполняемость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количество ставок мастеров производственного обучения на группу;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размер заработной платы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доля надбавок, доплат к основной заработной плате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 сложившаяся доля фонда заработной платы административного, технического и младшего обслуживающего персонала в общем фонде заработной платы государственного профессионального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общую сумму оплачиваемых часов включено количество часов внеурочной работы преподавателя (с коэффициентом 0,5), в связи со сниженной часовой ставкой внеурочной работы. В таблице 1 приведены данные по количеству часов общеобразовательной и профессиональной подготовки в год учащихся государственных профессиональных лицеев на основе типовых учебных планов.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часов общеобразовательной и профессиональной подготовки в год согласно государственным образовательным стандартам начального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032"/>
        <w:gridCol w:w="1081"/>
        <w:gridCol w:w="1081"/>
        <w:gridCol w:w="540"/>
        <w:gridCol w:w="540"/>
        <w:gridCol w:w="540"/>
        <w:gridCol w:w="540"/>
        <w:gridCol w:w="587"/>
        <w:gridCol w:w="587"/>
        <w:gridCol w:w="587"/>
        <w:gridCol w:w="587"/>
        <w:gridCol w:w="587"/>
        <w:gridCol w:w="587"/>
      </w:tblGrid>
      <w:tr>
        <w:tc>
          <w:tcPr>
            <w:tcW w:type="dxa" w:w="3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профессии</w:t>
            </w:r>
          </w:p>
        </w:tc>
        <w:tc>
          <w:tcPr>
            <w:tcW w:type="dxa" w:w="21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 обучения</w:t>
            </w:r>
          </w:p>
        </w:tc>
        <w:tc>
          <w:tcPr>
            <w:tcW w:type="dxa" w:w="21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обучения</w:t>
            </w:r>
          </w:p>
        </w:tc>
        <w:tc>
          <w:tcPr>
            <w:tcW w:type="dxa" w:w="352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общеобра-
 зовательной подготовки</w:t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профессио-
 нальной подготовки</w:t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общеобра-
 зовательной подготовки</w:t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профессио-
 нальной подготовки</w:t>
            </w:r>
          </w:p>
        </w:tc>
        <w:tc>
          <w:tcPr>
            <w:tcW w:type="dxa" w:w="17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общеобразовательной подготовки</w:t>
            </w:r>
          </w:p>
        </w:tc>
        <w:tc>
          <w:tcPr>
            <w:tcW w:type="dxa" w:w="17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профессиональной подготовки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курс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расчете норматива расходов на оплату труда </w:t>
      </w:r>
      <w:r>
        <w:rPr>
          <w:rFonts w:ascii="Arial" w:cs="Arial" w:eastAsia="Arial" w:hAnsi="Arial"/>
          <w:sz w:val="24"/>
          <w:szCs w:val="24"/>
        </w:rPr>
        <w:t xml:space="preserve">преподавателей используется фактически сложившийся показатель наполняемости групп в государственных профессиональных лицеях в учебных и реабилитационных группах с различными сроками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2 представлены показатели средней, фактически сложившейся наполняемости групп в зависимости от места расположения лицеев.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Средняя фактически сложившаяся наполняемость групп по месту расположения государственного профессионального лицея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3070"/>
        <w:gridCol w:w="1301"/>
        <w:gridCol w:w="1539"/>
        <w:gridCol w:w="652"/>
        <w:gridCol w:w="652"/>
        <w:gridCol w:w="652"/>
        <w:gridCol w:w="652"/>
        <w:gridCol w:w="652"/>
        <w:gridCol w:w="652"/>
      </w:tblGrid>
      <w:tr>
        <w:tc>
          <w:tcPr>
            <w:tcW w:type="dxa" w:w="3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3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</w:t>
            </w:r>
          </w:p>
        </w:tc>
        <w:tc>
          <w:tcPr>
            <w:tcW w:type="dxa" w:w="391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13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обучения</w:t>
            </w:r>
          </w:p>
        </w:tc>
        <w:tc>
          <w:tcPr>
            <w:tcW w:type="dxa" w:w="19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курс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фактически сложившаяся наполняемость учебных групп</w:t>
            </w:r>
          </w:p>
        </w:tc>
        <w:tc>
          <w:tcPr>
            <w:tcW w:type="dxa" w:w="13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фактически сложившаяся наполняемость реабилитационных групп</w:t>
            </w:r>
          </w:p>
        </w:tc>
        <w:tc>
          <w:tcPr>
            <w:tcW w:type="dxa" w:w="13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расчете норматива расходов на оплату труда используется средний размер почасовой оплаты труда преподавателей за преподавательскую и подготовительную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учебных группах - 80,3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реабилитационных группах - 97,0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расчете норматива расходов на оплату труда мастеров производственного обучения используется среднемесячная заработная плата: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учебных группах - 8419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реабилитационных группах - 10173 сома.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расчете норматива расходов на оплату труда административного, технического и младшего обслуживающего персонала государственных профессиональных лицеев, не имеющих общежития и стационарной столовой, используется фактически сложившаяся доля фонда оплаты труда административного, хозяйственного и вспомогательного персонала в общем фонде оплаты труда, расположенных: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городах - 35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сельской местности - 41 процент.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государственных профессиональных лицеях с общежитием и столовой, а также при наличии собственной котельной и печного отопления для покрытия расходов, связанных с содержанием дополнительных штатов (дежурный по общежитию, воспитатель, кастелянша, шеф-повар, кухонный работник, оператор котельной и истопник), применяется повышающий коэффициент к фонду оплаты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общежития - 1,06;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стационарной столовой - 1,04;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собственной котельной либо печного отопления - 1,03.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государственных профессиональных лицеях, осуществляющих подготовку кадров для производства художественных и ювелирных изделий и изделий народных промыслов, учебные группы в которых формируются с наполняемостью 12-15 учащихся, применяется повышающий коэффициент к фонду оплаты труда - 1,3.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Соотношение надбавок и доплат к основной заработной плате преподавателей и мастеров производственного обучения установлено на основе фактически сложившихся пропорций: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профессиональных лицеях, расположенных в городах, - 16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профессиональных лицеях, расположенных в сельской местности, - 28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данных выплат включены доплаты и надбавки за стаж педагогической работы, ученую степень, почетные звания, за работу в сельской местности, а также за тяжелые и вредные условия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Норматив расходов на оплату труда рассчитывается по профессиям, сроку и курсу обучения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норматив расходов на оплату труда в расчете на учащегося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количество оплачиваемых часов преподавателей в расчете на учащегося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 - средний размер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 - доля надбавок и доплат к почасовой оплате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фактическая наполняемость учебных групп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- средний размер заработной платы мастера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- доля надбавок и доплат к основной заработной плате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фактическая наполняемость групп производственного обучения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АХП </w:t>
      </w:r>
      <w:r>
        <w:rPr>
          <w:rFonts w:ascii="Arial" w:cs="Arial" w:eastAsia="Arial" w:hAnsi="Arial"/>
          <w:sz w:val="24"/>
          <w:szCs w:val="24"/>
        </w:rPr>
        <w:t xml:space="preserve">- доля фонда оплаты труда административного, технического и младшего обслуживающего персонала в общем фонде оплаты труда по j-той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ПМ</w:t>
      </w:r>
      <w:r>
        <w:rPr>
          <w:rFonts w:ascii="Arial" w:cs="Arial" w:eastAsia="Arial" w:hAnsi="Arial"/>
          <w:sz w:val="24"/>
          <w:szCs w:val="24"/>
        </w:rPr>
        <w:t xml:space="preserve"> - доля фонда оплаты труда преподавателей и мастеров производственного обучения в общем фонде оплаты труда по j-той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тариф страховых взносов с работодателя в Социальный фонд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расходов на учебные расходные материалы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 норматива расходов на учебные расходные материалы производится с учетом сложившихся затрат на приобретение материалов и инструментов, которые используются при проведении лабораторных работ, а также в период производственного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Норматив расходов на учебные расходные материалы произведен в расчете на 1 учащегося по основным профессиям подготовки рабочих кадров в ценах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Норматив расходов на учебные расходные материалы включает расходы на приобретение: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учебных пособий (наглядные пособия, аудио- и видеоматериалы, методические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для учебных и лабораторных занятий (расходные материалы, реактивы, приборы и инструменты для мастерских по производственному обучению);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и товары для производственного обучения и практической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3 представлены суммы расходов на учебные расходные материалы по профессиям, в расчете на одного учащегося в год.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Учебные расходные материалы по профессиям в расчете на одного учащегося в год
 (в сомах, по ценам 2018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4984"/>
        <w:gridCol w:w="1981"/>
        <w:gridCol w:w="2728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</w:t>
            </w:r>
          </w:p>
        </w:tc>
        <w:tc>
          <w:tcPr>
            <w:tcW w:type="dxa" w:w="1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обучения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расходов на одного учащегося (сомов)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расходов на повышение квалификации преподавателей и мастеров производственного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Норматив расходов на повышение квалификации преподавателей и мастеров производственного обучения определяется в соответствии с нормами, утвержденными </w:t>
      </w:r>
      <w:hyperlink w:history="1" r:id="rIdo-j1zcvpudqffsbcj6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Периодичность повышения квалификации преподавателей и мастеров производственного обучения определена один раз в 5 лет, в соответствии со статьей 29 </w:t>
      </w:r>
      <w:hyperlink w:history="1" r:id="rIdgj5i_l6qinfhyoa9aie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Норматив расходов на повышение квалификации преподавателей и мастеров производственного обучения в расчете на одного учащегося определяется путем деления суммы фактических расходов на повышение квалификации в государственных профессиональных лицеях на общее количество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4 представлен расчет расходов на повышение квалификации преподавателей и мастеров производственного обучения.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повышение квалификации преподавателей и мастеров производственного обучения в расчете на одного учащегося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657"/>
        <w:gridCol w:w="1362"/>
        <w:gridCol w:w="1437"/>
        <w:gridCol w:w="1246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(сомов)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(сомов)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одного работника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преподавателей и мастеров производственного обучения, направляемых на курсы повышения квалификации, в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на повышение квалификации преподавателей и мастеров производственного обучения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3181000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учащихся, обучающихся в государственных профессиональных лицеях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повышение квалификации преподавателей и мастеров производственного обучения в расчете на 1 учащегося в год (сомов)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Расчет норматива расходов на питание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норматив включаются расходы на питание учащихся со сроком обучения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Расходы на питание учащихся определены на основе расчетных денежных норм питания, утвержденных </w:t>
      </w:r>
      <w:hyperlink w:history="1" r:id="rIdebt5q6tiwpozmv4n9iq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7, и среднего количества учебных дней в году: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учащихся учебных групп - 240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детей-сирот и учащихся реабилитационных групп - 365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Учебный год в государственных профессиональных лицеях начинается с 1 сентября, заканчивается 30 июня и составляет 40 учебных недель (без учета каникулярного времени).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таблицах 5 и 6 представлены расходы на питание одного учащегося.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питание в расчете на одного учащегося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002"/>
        <w:gridCol w:w="898"/>
        <w:gridCol w:w="898"/>
        <w:gridCol w:w="898"/>
      </w:tblGrid>
      <w:tr>
        <w:tc>
          <w:tcPr>
            <w:tcW w:type="dxa" w:w="4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69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курс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дней питания в году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на 1 ученика в день (сомов)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питание в расчете на 1 учащегося в год (сомов)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питание в расчете на одного учащегося для детей-сирот и реабилитационных групп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232"/>
        <w:gridCol w:w="912"/>
        <w:gridCol w:w="912"/>
        <w:gridCol w:w="912"/>
        <w:gridCol w:w="912"/>
        <w:gridCol w:w="912"/>
        <w:gridCol w:w="912"/>
      </w:tblGrid>
      <w:tr>
        <w:tc>
          <w:tcPr>
            <w:tcW w:type="dxa" w:w="4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547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18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27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курс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дней питания в году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на 1 ученика в день (сомов)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питание для детей-сирот и учащихся реабилитационных групп в расчете на 1 учащегося в год (сомов)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Расчет норматива расходов на выплату стипендий учащимся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Расчет норматива расходов на выплату стипендий учащимся государственных профессиональных лицеев производится на основании норм и правил, утвержденных </w:t>
      </w:r>
      <w:hyperlink w:history="1" r:id="rIdytucirobrhtl0ve0tvk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выплату стипендии в расчете на одного учащегося представлен в таблице 7.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расходов на выплату стипендии в расчете на одного учащегося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8452"/>
        <w:gridCol w:w="1331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учащихся (чел.),
 в том числе получателей стипендии (чел.)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23251
 13342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стипендии (сомов)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(тыс. сомов)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32020,8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учащихся детей-сирот/реабилитационных групп (чел.)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стипендии для детей-сирот и учащихся реабилитационных групп (сомов)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(тыс. сомов)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6379,8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на выплату стипендии в учебных группах в расчете на 1 учащегося в год (сомов)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для детей-сирот и учащихся реабилитационных групп в расчете на 1 учащегося в год (сомов)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Расчет норматива расходов на выходное пособие детям-сиротам и учащимся реабилитационных групп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Выпускники государственных профессиональных лицеев из числа учащихся реабилитационных групп и детей-сирот обеспечиваются выходным пособием в размере 3000 сомов в соответствии с </w:t>
      </w:r>
      <w:hyperlink w:history="1" r:id="rIdxvcw0n1s3k3rggrd_ng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доступности для детей-сирот и других социально уязвимых категорий выпускников учебных заведений начального профессионального образования" от 24 декабря 2007 года № 618.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Расчет норматива расходов на проведение текущего ремонта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Норматив расходов на проведение текущего ремонта определяется путем определения потребности в средствах на проведение текущего ремонта государственных профессиональных лицеев в расчете на одного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Потребность в средствах на проведение текущего ремонта государственных профессиональных лицеев определяется методом прямого калькулирования расходов на приобретение основных строительных материалов, сопутствующих материалов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Расчеты произведены по средним фактически сложившимся показателям расходов на проведение текущего ремонта в государственных профессиональных лицеях.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проведение текущего ремонта государственных профессиональных лицеев в расчете на одного учащегося приведены в таблице 8.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проведение текущего ремонта государственных профессиональных лицеев в расчете на одного учащегося
 (в сомах, по ценам 2018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6646"/>
        <w:gridCol w:w="304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3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одного учащегося (сомов)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краски, извести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сопутствующих строительных материалов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сопутствующего инвентаря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141683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мощность государственного профессионального лицея (количество учащихся)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проведение текущего ремонта в расчете на 1 учащегося в год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Расчет норматива расходов на оплату коммунальных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Расчет норматива расходов на оплату коммунальных услуг построен на определении среднего норматива площади (кв. метр) на одного учащегося и средней стоимости 1 кв. метра отапливаемой площади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Коммунальные услуги включают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электрическое отопление;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центральное отопление (тепловая энергия);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смешанное отопление (печное и электрическое).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Средний норматив площади на одного учащегося рассчитывается на основе данных технических характеристик зданий (паспортов) государственных профессиональных лицеев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учащегося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площади на одного учащегося;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- численность учащихся по проектной мощности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норматив площадей зданий государственных профессиональных лицеев на одного учащегося по видам зданий приведен в таблице 9.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Средний норматив площади (кв.м) на одного учащегося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8069"/>
        <w:gridCol w:w="1447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норматив площади (кв.м) на одного учащегося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Учебно-административное здание (кв.м)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мастерские (кв.м)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 (кв.м)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(кв.м)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здания (кв.м)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Средняя стоимость 1 кв. метра определяется путем деления утвержденных расходов по видам коммунальных услуг на общую площадь отапливаемых помещений государственных профессиональных лицеев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 1 кв.м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-итого вида КУ</w:t>
      </w:r>
      <w:r>
        <w:rPr>
          <w:rFonts w:ascii="Arial" w:cs="Arial" w:eastAsia="Arial" w:hAnsi="Arial"/>
          <w:sz w:val="24"/>
          <w:szCs w:val="24"/>
        </w:rPr>
        <w:t xml:space="preserve"> - средняя стоимость 1 кв.м по видам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i-го вида КУ</w:t>
      </w:r>
      <w:r>
        <w:rPr>
          <w:rFonts w:ascii="Arial" w:cs="Arial" w:eastAsia="Arial" w:hAnsi="Arial"/>
          <w:sz w:val="24"/>
          <w:szCs w:val="24"/>
        </w:rPr>
        <w:t xml:space="preserve"> - утвержденные расходы по видам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отопл.</w:t>
      </w:r>
      <w:r>
        <w:rPr>
          <w:rFonts w:ascii="Arial" w:cs="Arial" w:eastAsia="Arial" w:hAnsi="Arial"/>
          <w:sz w:val="24"/>
          <w:szCs w:val="24"/>
        </w:rPr>
        <w:t xml:space="preserve"> - площадь отапливаемых помещений зданий профессиональных лицеев.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Средняя стоимость 1 кв.м на одного учащегося по видам коммунальных услуг приведена в таблице 10.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Средняя стоимость 1 кв.м на одного учащегося по видам коммунальных услуг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5321"/>
        <w:gridCol w:w="4020"/>
      </w:tblGrid>
      <w:tr>
        <w:tc>
          <w:tcPr>
            <w:tcW w:type="dxa" w:w="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коммунальных услуг</w:t>
            </w:r>
          </w:p>
        </w:tc>
        <w:tc>
          <w:tcPr>
            <w:tcW w:type="dxa" w:w="4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стоимость на 1 кв.м (сомов)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Норматив расходов на оплату коммунальных услуг в расчете на одного учащегося определяется путем умножения среднего норматива площади (кв.м) на среднюю стоимость одного 1 кв.м по видам коммунальных услуг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 </w:t>
      </w:r>
      <w:r>
        <w:rPr>
          <w:rFonts w:ascii="Arial" w:cs="Arial" w:eastAsia="Arial" w:hAnsi="Arial"/>
          <w:sz w:val="24"/>
          <w:szCs w:val="24"/>
        </w:rPr>
        <w:t xml:space="preserve">= Н</w:t>
      </w:r>
      <w:r>
        <w:rPr>
          <w:rFonts w:ascii="Arial" w:cs="Arial" w:eastAsia="Arial" w:hAnsi="Arial"/>
          <w:sz w:val="24"/>
          <w:szCs w:val="24"/>
        </w:rPr>
        <w:t xml:space="preserve">П на 1 учащегося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∑ </w:t>
      </w:r>
      <w:r>
        <w:rPr>
          <w:rFonts w:ascii="Arial" w:cs="Arial" w:eastAsia="Arial" w:hAnsi="Arial"/>
          <w:sz w:val="24"/>
          <w:szCs w:val="24"/>
        </w:rPr>
        <w:t xml:space="preserve">с 1 кв.м КУ 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учащегося</w:t>
      </w:r>
      <w:r>
        <w:rPr>
          <w:rFonts w:ascii="Arial" w:cs="Arial" w:eastAsia="Arial" w:hAnsi="Arial"/>
          <w:sz w:val="24"/>
          <w:szCs w:val="24"/>
        </w:rPr>
        <w:t xml:space="preserve"> - норматив площади на 1 учащегося;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∑ </w:t>
      </w:r>
      <w:r>
        <w:rPr>
          <w:rFonts w:ascii="Arial" w:cs="Arial" w:eastAsia="Arial" w:hAnsi="Arial"/>
          <w:sz w:val="24"/>
          <w:szCs w:val="24"/>
        </w:rPr>
        <w:t xml:space="preserve">с 1 кв.м КУ</w:t>
      </w:r>
      <w:r>
        <w:rPr>
          <w:rFonts w:ascii="Arial" w:cs="Arial" w:eastAsia="Arial" w:hAnsi="Arial"/>
          <w:sz w:val="24"/>
          <w:szCs w:val="24"/>
        </w:rPr>
        <w:t xml:space="preserve"> - стоимость 1 кв.м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1 кв.м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∑ </w:t>
      </w:r>
      <w:r>
        <w:rPr>
          <w:rFonts w:ascii="Arial" w:cs="Arial" w:eastAsia="Arial" w:hAnsi="Arial"/>
          <w:sz w:val="24"/>
          <w:szCs w:val="24"/>
        </w:rPr>
        <w:t xml:space="preserve">с 1 кв.м КУ </w:t>
      </w:r>
      <w:r>
        <w:rPr>
          <w:rFonts w:ascii="Arial" w:cs="Arial" w:eastAsia="Arial" w:hAnsi="Arial"/>
          <w:sz w:val="24"/>
          <w:szCs w:val="24"/>
        </w:rPr>
        <w:t xml:space="preserve">= с 1 кв.м</w:t>
      </w:r>
      <w:r>
        <w:rPr>
          <w:rFonts w:ascii="Arial" w:cs="Arial" w:eastAsia="Arial" w:hAnsi="Arial"/>
          <w:sz w:val="24"/>
          <w:szCs w:val="24"/>
        </w:rPr>
        <w:t xml:space="preserve">освещ. </w:t>
      </w:r>
      <w:r>
        <w:rPr>
          <w:rFonts w:ascii="Arial" w:cs="Arial" w:eastAsia="Arial" w:hAnsi="Arial"/>
          <w:sz w:val="24"/>
          <w:szCs w:val="24"/>
        </w:rPr>
        <w:t xml:space="preserve">+ с 1 кв.м</w:t>
      </w:r>
      <w:r>
        <w:rPr>
          <w:rFonts w:ascii="Arial" w:cs="Arial" w:eastAsia="Arial" w:hAnsi="Arial"/>
          <w:sz w:val="24"/>
          <w:szCs w:val="24"/>
        </w:rPr>
        <w:t xml:space="preserve">вода</w:t>
      </w:r>
      <w:r>
        <w:rPr>
          <w:rFonts w:ascii="Arial" w:cs="Arial" w:eastAsia="Arial" w:hAnsi="Arial"/>
          <w:sz w:val="24"/>
          <w:szCs w:val="24"/>
        </w:rPr>
        <w:t xml:space="preserve"> + с 1 кв.м</w:t>
      </w:r>
      <w:r>
        <w:rPr>
          <w:rFonts w:ascii="Arial" w:cs="Arial" w:eastAsia="Arial" w:hAnsi="Arial"/>
          <w:sz w:val="24"/>
          <w:szCs w:val="24"/>
        </w:rPr>
        <w:t xml:space="preserve">связь</w:t>
      </w:r>
      <w:r>
        <w:rPr>
          <w:rFonts w:ascii="Arial" w:cs="Arial" w:eastAsia="Arial" w:hAnsi="Arial"/>
          <w:sz w:val="24"/>
          <w:szCs w:val="24"/>
        </w:rPr>
        <w:t xml:space="preserve"> + с кв.м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вида отопл.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расходов на оплату коммунальных услуг по видам отопления государственных профессиональных лицеев в расчете на одного учащегося приведен в таблице 11.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 расходов на оплату коммунальных услуг по видам отопления, в расчете на одного учащегося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8020"/>
        <w:gridCol w:w="1681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отопления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 электрическим отоплением, в расчете на 1 учащегося в год (сомов)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 центральным отоплением, в расчете на 1 учащегося в год (сомов)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со смешанным отоплением, в расчете на 1 учащегося в год (сомов)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 Расчет нормативов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Норматив расходов в расчете на одного учащегося государственных профессиональных лицеев по профессии, сроку и курсу обучения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= 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+ СТИП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ПИТ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+ 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+ КВАЛ + РЕМ + КУ,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норматив бюджетного финансирования государственного профессионального лицея по i-той профессии,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персонала в расчете на одного учащегося по i-той профессии,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выплату стипендии в расчете на одного учащегося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питание в расчете на одного учащегося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учебные расходные материалы в расчете на одного учащегося по i-той профессии,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 - норматив расходов на повышение квалификации преподавателей и мастеров производственного обучения в расчете на одного учащегося;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 - норматив расходов на проведение текущего ремонта государственных профессиональных лицеев при подготовке к новому учебному году в расчете на одного учащегося;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 - норматив расходов на оплату коммунальных услуг по видам отопления государственных профессиональных лицеев в расчете на одного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Нормативы бюджетного финансирования рассчитываются по профессиям, сроку и курсу обучения, с дифференциацией по месту расположения государственных профессиональных лицеев (город,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изменении условий финансирования (повышение заработной платы, стипендии и норм питания учащихся, индексация расходов на уровень инфляции) нормативы бюджетного финансирования государственных профессиональных лицеев пересматриваются и определяются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государственных профессиональных лицеев на предстоящий год по i-той профессии,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в государственных профессиональных лицеях в текущем году по i-той профессии,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роста заработной платы работников образования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выплату стипендий в государственных профессиональных лицеях в текущем году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учебной и социальной стипендии в текущем году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питание в государственных профессиональных лицеях в текущем году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денежных норм питания в текущем году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расходов, за исключением расходов на оплату труда, выплату стипендии и питание в государственных профессиональных лицеях в текущем году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инфляции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-pgy_agka_tthql7qeyz" Type="http://schemas.openxmlformats.org/officeDocument/2006/relationships/hyperlink" Target="http://kodeks.duckdns.org/document/230006351" TargetMode="External"/><Relationship Id="rId-utnjmanyg6bwtsikon66" Type="http://schemas.openxmlformats.org/officeDocument/2006/relationships/hyperlink" Target="http://kodeks.duckdns.org/document/157168" TargetMode="External"/><Relationship Id="rIdehwodo2zlcyog8b66i54u" Type="http://schemas.openxmlformats.org/officeDocument/2006/relationships/hyperlink" Target="http://kodeks.duckdns.org/document/54614" TargetMode="External"/><Relationship Id="rIdpannokbyehxfk2-zsquiu" Type="http://schemas.openxmlformats.org/officeDocument/2006/relationships/hyperlink" Target="http://kodeks.duckdns.org/document/157168" TargetMode="External"/><Relationship Id="rIdo-j1zcvpudqffsbcj6ycs" Type="http://schemas.openxmlformats.org/officeDocument/2006/relationships/hyperlink" Target="http://kodeks.duckdns.org/document/59373" TargetMode="External"/><Relationship Id="rIdgj5i_l6qinfhyoa9aie0y" Type="http://schemas.openxmlformats.org/officeDocument/2006/relationships/hyperlink" Target="http://kodeks.duckdns.org/document/1216" TargetMode="External"/><Relationship Id="rIdebt5q6tiwpozmv4n9iq4c" Type="http://schemas.openxmlformats.org/officeDocument/2006/relationships/hyperlink" Target="http://kodeks.duckdns.org/document/58839" TargetMode="External"/><Relationship Id="rIdytucirobrhtl0ve0tvkoy" Type="http://schemas.openxmlformats.org/officeDocument/2006/relationships/hyperlink" Target="http://kodeks.duckdns.org/document/56382" TargetMode="External"/><Relationship Id="rIdxvcw0n1s3k3rggrd_ngte" Type="http://schemas.openxmlformats.org/officeDocument/2006/relationships/hyperlink" Target="http://kodeks.duckdns.org/document/5880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2026-09-23T14:01:30.458Z</dcterms:created>
  <dcterms:modified xsi:type="dcterms:W3CDTF">2026-09-23T14:01:30.458Z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