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do-s12xrk_mdujdbe0uk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6 декабря 2018 года № 564)</w:t>
      </w:r>
    </w:p>
    <w:p>
      <w:pPr>
        <w:spacing w:after="400" w:before="400"/>
        <w:jc w:val="center"/>
      </w:pPr>
      <w:r>
        <w:rPr>
          <w:rFonts w:ascii="Arial" w:cs="Arial" w:eastAsia="Arial" w:hAnsi="Arial"/>
          <w:b/>
          <w:bCs/>
          <w:sz w:val="32"/>
          <w:szCs w:val="32"/>
        </w:rPr>
        <w:t xml:space="preserve">ПОРЯДОК
 организации системы фармаконадзора</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организации системы фармаконадзора (далее - Порядок) устанавливает процедуры организации системы фармаконадзора держателями регистрационных удостоверений лекарственных средств и подведомственным учреждением уполномоченного государственного органа Кыргызской Республики в области здравоохранения, регулирующим обращение лекарственных средств и медицинских изделий (далее - уполномоченный орган), в целях разработки и внедрения мер по обеспечению применения лекарственных средств при превышении соотношения "польза-риск".</w:t>
      </w:r>
    </w:p>
    <w:p>
      <w:pPr>
        <w:spacing w:after="60"/>
        <w:ind w:firstLine="567"/>
        <w:jc w:val="both"/>
      </w:pPr>
      <w:r>
        <w:rPr>
          <w:rFonts w:ascii="Arial" w:cs="Arial" w:eastAsia="Arial" w:hAnsi="Arial"/>
          <w:sz w:val="24"/>
          <w:szCs w:val="24"/>
        </w:rPr>
        <w:t xml:space="preserve">2. Организация и обеспечение функционирования системы фармаконадзора (далее - фармаконадзор) осуществляется держателями регистрационных удостоверений лекарственных препаратов и уполномоченным органом в соответствии с Правилами надлежащей практики фармаконадзора Евразийского экономического союза, утвержденными решением Совета Евразийской экономической комиссии от 3 ноября 2016 года № 87 (далее - Правила надлежащей практики фармаконадзора), и настоящим Порядком.</w:t>
      </w:r>
    </w:p>
    <w:p>
      <w:pPr>
        <w:spacing w:after="60"/>
        <w:ind w:firstLine="567"/>
        <w:jc w:val="both"/>
      </w:pPr>
      <w:r>
        <w:rPr>
          <w:rFonts w:ascii="Arial" w:cs="Arial" w:eastAsia="Arial" w:hAnsi="Arial"/>
          <w:sz w:val="24"/>
          <w:szCs w:val="24"/>
        </w:rPr>
        <w:t xml:space="preserve">3. В настоящем Порядке используются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держатель регистрационного удостоверения</w:t>
      </w:r>
      <w:r>
        <w:rPr>
          <w:rFonts w:ascii="Arial" w:cs="Arial" w:eastAsia="Arial" w:hAnsi="Arial"/>
          <w:sz w:val="24"/>
          <w:szCs w:val="24"/>
        </w:rPr>
        <w:t xml:space="preserve"> - юридическое лицо, на имя которого выдано регистрационное удостоверение о государственной регистрации лекарственного средства;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лекарственное средство</w:t>
      </w:r>
      <w:r>
        <w:rPr>
          <w:rFonts w:ascii="Arial" w:cs="Arial" w:eastAsia="Arial" w:hAnsi="Arial"/>
          <w:sz w:val="24"/>
          <w:szCs w:val="24"/>
        </w:rPr>
        <w:t xml:space="preserve"> - средство, представляющее собой либо содержащее вещество или комбинацию веществ, предназначенное для лечения, профилактики заболеваний человека или восстановления, коррекции, или изменения физиологических функций посредством фармакологического, иммунологического либо метаболического воздействия или для диагностики заболеваний и состояния человека;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лекарственный препарат</w:t>
      </w:r>
      <w:r>
        <w:rPr>
          <w:rFonts w:ascii="Arial" w:cs="Arial" w:eastAsia="Arial" w:hAnsi="Arial"/>
          <w:sz w:val="24"/>
          <w:szCs w:val="24"/>
        </w:rPr>
        <w:t xml:space="preserve"> - лекарственное средство в виде определенной лекарственной формы, готовой к применению;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мастер-файл системы фармаконадзора</w:t>
      </w:r>
      <w:r>
        <w:rPr>
          <w:rFonts w:ascii="Arial" w:cs="Arial" w:eastAsia="Arial" w:hAnsi="Arial"/>
          <w:sz w:val="24"/>
          <w:szCs w:val="24"/>
        </w:rPr>
        <w:t xml:space="preserve"> - подробное описание системы фармаконадзора, применяемой держателем регистрационного удостоверения в отношении данных об одном или нескольких зарегистрированных лекарственных препаратах;</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нежелательная реакция</w:t>
      </w:r>
      <w:r>
        <w:rPr>
          <w:rFonts w:ascii="Arial" w:cs="Arial" w:eastAsia="Arial" w:hAnsi="Arial"/>
          <w:sz w:val="24"/>
          <w:szCs w:val="24"/>
        </w:rPr>
        <w:t xml:space="preserve"> - непреднамеренная неблагоприятная реакция организма, связанная с применением лекарственного (исследуемого) препарата и предполагающая наличие, как минимум, возможной взаимосвязи с применением подозреваемого лекарственного (исследуемого) препарата;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нежелательное явление</w:t>
      </w:r>
      <w:r>
        <w:rPr>
          <w:rFonts w:ascii="Arial" w:cs="Arial" w:eastAsia="Arial" w:hAnsi="Arial"/>
          <w:sz w:val="24"/>
          <w:szCs w:val="24"/>
        </w:rPr>
        <w:t xml:space="preserve"> - любое неблагоприятное изменение в состоянии здоровья пациента или субъекта клинического исследования, которому назначался лекарственный (исследуемый) препарат, независимо от причинно-следственной связи с его применением. Нежелательное явление может представлять собой любое неблагоприятное и непреднамеренное изменение (в том числе отклонение лабораторного показателя от нормы), симптом или заболевание, время возникновения которых не исключает причинно-следственной связи с применением лекарственного препарата, вне зависимости от наличия или отсутствия взаимосвязи с применением лекарственного препарата;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неправильное применение</w:t>
      </w:r>
      <w:r>
        <w:rPr>
          <w:rFonts w:ascii="Arial" w:cs="Arial" w:eastAsia="Arial" w:hAnsi="Arial"/>
          <w:sz w:val="24"/>
          <w:szCs w:val="24"/>
        </w:rPr>
        <w:t xml:space="preserve"> - намеренное и ненадлежащее применение лекарственного препарата, которое не соответствует действующей общей характеристике лекарственного препарата или инструкции по медицинскому применению;</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непредвиденная нежелательная реакция</w:t>
      </w:r>
      <w:r>
        <w:rPr>
          <w:rFonts w:ascii="Arial" w:cs="Arial" w:eastAsia="Arial" w:hAnsi="Arial"/>
          <w:sz w:val="24"/>
          <w:szCs w:val="24"/>
        </w:rPr>
        <w:t xml:space="preserve"> - нежелательная реакция, характер, степень тяжести или исход которой не соответствует информации, содержащейся в действующей общей характеристике лекарственного препарата либо в брошюре исследователя, для незарегистрированного лекарственного препарата;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периодический обновляемый отчет по безопасности</w:t>
      </w:r>
      <w:r>
        <w:rPr>
          <w:rFonts w:ascii="Arial" w:cs="Arial" w:eastAsia="Arial" w:hAnsi="Arial"/>
          <w:sz w:val="24"/>
          <w:szCs w:val="24"/>
        </w:rPr>
        <w:t xml:space="preserve"> - отчет для представления оценки соотношения "польза-риск" лекарственного препарата держателем регистрационного удостоверения лекарственного препарата в определенный период времени в течение пострегистрационного этапа;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план управления рисками</w:t>
      </w:r>
      <w:r>
        <w:rPr>
          <w:rFonts w:ascii="Arial" w:cs="Arial" w:eastAsia="Arial" w:hAnsi="Arial"/>
          <w:sz w:val="24"/>
          <w:szCs w:val="24"/>
        </w:rPr>
        <w:t xml:space="preserve"> - подробное описание системы управления рисками;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сигнал</w:t>
      </w:r>
      <w:r>
        <w:rPr>
          <w:rFonts w:ascii="Arial" w:cs="Arial" w:eastAsia="Arial" w:hAnsi="Arial"/>
          <w:sz w:val="24"/>
          <w:szCs w:val="24"/>
        </w:rPr>
        <w:t xml:space="preserve"> - информация, поступающая от одного или нескольких источников, которая предполагает наличие новой потенциальной причинно-следственной связи или нового аспекта известной взаимосвязи между воздействием лекарственного препарата и нежелательным явлением или совокупностью взаимосвязанных нежелательных явлений, оцениваемая как достаточная для дальнейших действий по верификации сигнала;</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сигнал, по которому выполняется работа</w:t>
      </w:r>
      <w:r>
        <w:rPr>
          <w:rFonts w:ascii="Arial" w:cs="Arial" w:eastAsia="Arial" w:hAnsi="Arial"/>
          <w:sz w:val="24"/>
          <w:szCs w:val="24"/>
        </w:rPr>
        <w:t xml:space="preserve"> - сигнал, который был выявлен до отчетного периода периодического обновляемого отчета по безопасности и на дату окончания сбора данных находился в процессе оценки;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система управления рисками</w:t>
      </w:r>
      <w:r>
        <w:rPr>
          <w:rFonts w:ascii="Arial" w:cs="Arial" w:eastAsia="Arial" w:hAnsi="Arial"/>
          <w:sz w:val="24"/>
          <w:szCs w:val="24"/>
        </w:rPr>
        <w:t xml:space="preserve"> - комплекс действий и мероприятий по фармаконадзору, направленных на выявление, характеристику, предотвращение или минимизацию рисков, связанных с лекарственными препаратами, включая оценку эффективности данных мероприятий и деятельности;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серьезная нежелательная реакция</w:t>
      </w:r>
      <w:r>
        <w:rPr>
          <w:rFonts w:ascii="Arial" w:cs="Arial" w:eastAsia="Arial" w:hAnsi="Arial"/>
          <w:sz w:val="24"/>
          <w:szCs w:val="24"/>
        </w:rPr>
        <w:t xml:space="preserve"> - нежелательная реакция, которая приводит к смерти, представляет угрозу для жизни, требует госпитализации пациента или ее продления, приводит к стойкой либо выраженной нетрудоспособности или инвалидности, к врожденным аномалиям или порокам развития, требует медицинского вмешательства для предотвращения развития перечисленных состояний. Любая непреднамеренная подозреваемая передача инфекционного агента через лекарственный препарат также считается серьезной нежелательной реакцией;</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соотношение "польза-риск"</w:t>
      </w:r>
      <w:r>
        <w:rPr>
          <w:rFonts w:ascii="Arial" w:cs="Arial" w:eastAsia="Arial" w:hAnsi="Arial"/>
          <w:sz w:val="24"/>
          <w:szCs w:val="24"/>
        </w:rPr>
        <w:t xml:space="preserve"> - оценка положительных терапевтических эффектов лекарственного препарата по отношению к рискам, связанным с его применением (понятие риска включает любой риск, связанный с качеством, безопасностью или эффективностью лекарственного препарата по отношению к здоровью пациента или населения);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фармаконадзор</w:t>
      </w:r>
      <w:r>
        <w:rPr>
          <w:rFonts w:ascii="Arial" w:cs="Arial" w:eastAsia="Arial" w:hAnsi="Arial"/>
          <w:sz w:val="24"/>
          <w:szCs w:val="24"/>
        </w:rPr>
        <w:t xml:space="preserve"> - вид деятельности, направленный на выявление, оценку, понимание и предотвращение нежелательных последствий применения лекарственных препаратов.</w:t>
      </w:r>
    </w:p>
    <w:p>
      <w:pPr>
        <w:spacing w:after="60"/>
        <w:ind w:firstLine="567"/>
        <w:jc w:val="both"/>
      </w:pPr>
      <w:r>
        <w:rPr>
          <w:rFonts w:ascii="Arial" w:cs="Arial" w:eastAsia="Arial" w:hAnsi="Arial"/>
          <w:sz w:val="24"/>
          <w:szCs w:val="24"/>
        </w:rPr>
        <w:t xml:space="preserve">4. Уполномоченный орган осуществляет деятельность по фармаконадзору с соблюдением требований законодательства Кыргызской Республики в сфере защиты персональных данных.</w:t>
      </w:r>
    </w:p>
    <w:p>
      <w:pPr>
        <w:spacing w:after="60"/>
        <w:ind w:firstLine="567"/>
        <w:jc w:val="both"/>
      </w:pPr>
      <w:r>
        <w:rPr>
          <w:rFonts w:ascii="Arial" w:cs="Arial" w:eastAsia="Arial" w:hAnsi="Arial"/>
          <w:sz w:val="24"/>
          <w:szCs w:val="24"/>
        </w:rPr>
        <w:t xml:space="preserve">5. Уполномоченный орган проводит анализ и оценку:</w:t>
      </w:r>
    </w:p>
    <w:p>
      <w:pPr>
        <w:spacing w:after="60"/>
        <w:ind w:firstLine="567"/>
        <w:jc w:val="both"/>
      </w:pPr>
      <w:r>
        <w:rPr>
          <w:rFonts w:ascii="Arial" w:cs="Arial" w:eastAsia="Arial" w:hAnsi="Arial"/>
          <w:sz w:val="24"/>
          <w:szCs w:val="24"/>
        </w:rPr>
        <w:t xml:space="preserve">- сообщений, полученных от держателей регистрационных удостоверений медицинских работников организаций здравоохранения, фармацевтических работников, о серьезных нежелательных реакциях и непредвиденных нежелательных реакциях на лекарственные препараты, информации об отсутствии эффективности лекарственных препаратов, обо всех фактах и обстоятельствах, представляющих угрозу жизни или здоровью человека при применении лекарственных препаратов;</w:t>
      </w:r>
    </w:p>
    <w:p>
      <w:pPr>
        <w:spacing w:after="60"/>
        <w:ind w:firstLine="567"/>
        <w:jc w:val="both"/>
      </w:pPr>
      <w:r>
        <w:rPr>
          <w:rFonts w:ascii="Arial" w:cs="Arial" w:eastAsia="Arial" w:hAnsi="Arial"/>
          <w:sz w:val="24"/>
          <w:szCs w:val="24"/>
        </w:rPr>
        <w:t xml:space="preserve">- периодических отчетов по безопасности лекарственных препаратов, полученных от держателей регистрационных удостоверений;</w:t>
      </w:r>
    </w:p>
    <w:p>
      <w:pPr>
        <w:spacing w:after="60"/>
        <w:ind w:firstLine="567"/>
        <w:jc w:val="both"/>
      </w:pPr>
      <w:r>
        <w:rPr>
          <w:rFonts w:ascii="Arial" w:cs="Arial" w:eastAsia="Arial" w:hAnsi="Arial"/>
          <w:sz w:val="24"/>
          <w:szCs w:val="24"/>
        </w:rPr>
        <w:t xml:space="preserve">- мастер-файла системы фармаконадзора держателей регистрационных удостоверений;</w:t>
      </w:r>
    </w:p>
    <w:p>
      <w:pPr>
        <w:spacing w:after="60"/>
        <w:ind w:firstLine="567"/>
        <w:jc w:val="both"/>
      </w:pPr>
      <w:r>
        <w:rPr>
          <w:rFonts w:ascii="Arial" w:cs="Arial" w:eastAsia="Arial" w:hAnsi="Arial"/>
          <w:sz w:val="24"/>
          <w:szCs w:val="24"/>
        </w:rPr>
        <w:t xml:space="preserve">- планов управления рисками.</w:t>
      </w:r>
    </w:p>
    <w:p>
      <w:pPr>
        <w:spacing w:after="200" w:before="200"/>
        <w:jc w:val="center"/>
      </w:pPr>
      <w:r>
        <w:rPr>
          <w:rFonts w:ascii="Arial" w:cs="Arial" w:eastAsia="Arial" w:hAnsi="Arial"/>
          <w:b/>
          <w:bCs/>
          <w:sz w:val="24"/>
          <w:szCs w:val="24"/>
        </w:rPr>
        <w:t xml:space="preserve">Глава 2. Предоставление информации и сообщений</w:t>
      </w:r>
    </w:p>
    <w:p>
      <w:pPr>
        <w:spacing w:after="60"/>
        <w:ind w:firstLine="567"/>
        <w:jc w:val="both"/>
      </w:pPr>
      <w:r>
        <w:rPr>
          <w:rFonts w:ascii="Arial" w:cs="Arial" w:eastAsia="Arial" w:hAnsi="Arial"/>
          <w:sz w:val="24"/>
          <w:szCs w:val="24"/>
        </w:rPr>
        <w:t xml:space="preserve">6. Держатели регистрационных удостоверений направляют сообщения в уполномоченный орган в срок до 15 календарных дней со дня получения ими сведений:</w:t>
      </w:r>
    </w:p>
    <w:p>
      <w:pPr>
        <w:spacing w:after="60"/>
        <w:ind w:firstLine="567"/>
        <w:jc w:val="both"/>
      </w:pPr>
      <w:r>
        <w:rPr>
          <w:rFonts w:ascii="Arial" w:cs="Arial" w:eastAsia="Arial" w:hAnsi="Arial"/>
          <w:sz w:val="24"/>
          <w:szCs w:val="24"/>
        </w:rPr>
        <w:t xml:space="preserve">- о серьезных нежелательных реакциях, выявленных на территории Кыргызской Республики, по форме согласно </w:t>
      </w:r>
      <w:hyperlink w:history="1" r:id="rIdkukn4drgcy9ovt8tpfch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о непредвиденных нежелательных реакциях, выявленных на территории других стран, по форме согласно </w:t>
      </w:r>
      <w:hyperlink w:history="1" r:id="rId_vckt72anulwbwg56umow">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 обо всех изменениях в оценке соотношения "польза-риск" зарегистрированных лекарственных препаратов.</w:t>
      </w:r>
    </w:p>
    <w:p>
      <w:pPr>
        <w:spacing w:after="60"/>
        <w:ind w:firstLine="567"/>
        <w:jc w:val="both"/>
      </w:pPr>
      <w:r>
        <w:rPr>
          <w:rFonts w:ascii="Arial" w:cs="Arial" w:eastAsia="Arial" w:hAnsi="Arial"/>
          <w:sz w:val="24"/>
          <w:szCs w:val="24"/>
        </w:rPr>
        <w:t xml:space="preserve">7. Информация по безопасности и эффективности, свидетельствующая об изменениях в соотношении "польза-риск" лекарственного препарата и подлежащая срочному представлению в соответствии с Правилами надлежащей практики фармаконадзора, предоставляется держателями регистрационного удостоверения (в письменной форме) за подписью руководителя держателя регистрационного удостоверения либо иного уполномоченного им лица.</w:t>
      </w:r>
    </w:p>
    <w:p>
      <w:pPr>
        <w:spacing w:after="60"/>
        <w:ind w:firstLine="567"/>
        <w:jc w:val="both"/>
      </w:pPr>
      <w:r>
        <w:rPr>
          <w:rFonts w:ascii="Arial" w:cs="Arial" w:eastAsia="Arial" w:hAnsi="Arial"/>
          <w:sz w:val="24"/>
          <w:szCs w:val="24"/>
        </w:rPr>
        <w:t xml:space="preserve">8. Медицинские и фармацевтические работники обязаны представлять информацию обо всех случаях:</w:t>
      </w:r>
    </w:p>
    <w:p>
      <w:pPr>
        <w:spacing w:after="60"/>
        <w:ind w:firstLine="567"/>
        <w:jc w:val="both"/>
      </w:pPr>
      <w:r>
        <w:rPr>
          <w:rFonts w:ascii="Arial" w:cs="Arial" w:eastAsia="Arial" w:hAnsi="Arial"/>
          <w:sz w:val="24"/>
          <w:szCs w:val="24"/>
        </w:rPr>
        <w:t xml:space="preserve">- выявления серьезных нежелательных реакций, приведших к смерти, врожденным аномалиям или порокам развития либо представляющих собой угрозу жизни, требующих госпитализации, продления госпитализации и необходимость медицинского вмешательства для предотвращения развития перечисленных состояний, а также приведших к стойкой утрате трудоспособности и (или) инвалидности;</w:t>
      </w:r>
    </w:p>
    <w:p>
      <w:pPr>
        <w:spacing w:after="60"/>
        <w:ind w:firstLine="567"/>
        <w:jc w:val="both"/>
      </w:pPr>
      <w:r>
        <w:rPr>
          <w:rFonts w:ascii="Arial" w:cs="Arial" w:eastAsia="Arial" w:hAnsi="Arial"/>
          <w:sz w:val="24"/>
          <w:szCs w:val="24"/>
        </w:rPr>
        <w:t xml:space="preserve">- выявления непредвиденных нежелательных реакций;</w:t>
      </w:r>
    </w:p>
    <w:p>
      <w:pPr>
        <w:spacing w:after="60"/>
        <w:ind w:firstLine="567"/>
        <w:jc w:val="both"/>
      </w:pPr>
      <w:r>
        <w:rPr>
          <w:rFonts w:ascii="Arial" w:cs="Arial" w:eastAsia="Arial" w:hAnsi="Arial"/>
          <w:sz w:val="24"/>
          <w:szCs w:val="24"/>
        </w:rPr>
        <w:t xml:space="preserve">- выявления нежелательных реакций, причиной которых предполагается применение некачественного лекарственного препарата;</w:t>
      </w:r>
    </w:p>
    <w:p>
      <w:pPr>
        <w:spacing w:after="60"/>
        <w:ind w:firstLine="567"/>
        <w:jc w:val="both"/>
      </w:pPr>
      <w:r>
        <w:rPr>
          <w:rFonts w:ascii="Arial" w:cs="Arial" w:eastAsia="Arial" w:hAnsi="Arial"/>
          <w:sz w:val="24"/>
          <w:szCs w:val="24"/>
        </w:rPr>
        <w:t xml:space="preserve">- отсутствия у лекарственного препарата ожидаемой терапевтической эффективности;</w:t>
      </w:r>
    </w:p>
    <w:p>
      <w:pPr>
        <w:spacing w:after="60"/>
        <w:ind w:firstLine="567"/>
        <w:jc w:val="both"/>
      </w:pPr>
      <w:r>
        <w:rPr>
          <w:rFonts w:ascii="Arial" w:cs="Arial" w:eastAsia="Arial" w:hAnsi="Arial"/>
          <w:sz w:val="24"/>
          <w:szCs w:val="24"/>
        </w:rPr>
        <w:t xml:space="preserve">- развития антибиотикорезистентности на лекарственный препарат при наличии результатов бактериологического исследования, подтверждающих определение резистентных к применявшемуся антибиотику штаммов;</w:t>
      </w:r>
    </w:p>
    <w:p>
      <w:pPr>
        <w:spacing w:after="60"/>
        <w:ind w:firstLine="567"/>
        <w:jc w:val="both"/>
      </w:pPr>
      <w:r>
        <w:rPr>
          <w:rFonts w:ascii="Arial" w:cs="Arial" w:eastAsia="Arial" w:hAnsi="Arial"/>
          <w:sz w:val="24"/>
          <w:szCs w:val="24"/>
        </w:rPr>
        <w:t xml:space="preserve">- допущенных ошибок при назначении и применении лекарственного препарата специалистами здравоохранения и (или) пациентами вследствие неправильной интерпретации сведений его инструкции по применению;</w:t>
      </w:r>
    </w:p>
    <w:p>
      <w:pPr>
        <w:spacing w:after="60"/>
        <w:ind w:firstLine="567"/>
        <w:jc w:val="both"/>
      </w:pPr>
      <w:r>
        <w:rPr>
          <w:rFonts w:ascii="Arial" w:cs="Arial" w:eastAsia="Arial" w:hAnsi="Arial"/>
          <w:sz w:val="24"/>
          <w:szCs w:val="24"/>
        </w:rPr>
        <w:t xml:space="preserve">- применения лекарственного препарата в период беременности и кормления грудью, когда использование данного препарата противопоказано, или данные о его безопасности при беременности и лактации отсутствуют;</w:t>
      </w:r>
    </w:p>
    <w:p>
      <w:pPr>
        <w:spacing w:after="60"/>
        <w:ind w:firstLine="567"/>
        <w:jc w:val="both"/>
      </w:pPr>
      <w:r>
        <w:rPr>
          <w:rFonts w:ascii="Arial" w:cs="Arial" w:eastAsia="Arial" w:hAnsi="Arial"/>
          <w:sz w:val="24"/>
          <w:szCs w:val="24"/>
        </w:rPr>
        <w:t xml:space="preserve">- ранее неизвестных случаях опасных лекарственных взаимодействий при применении лекарственных препаратов.</w:t>
      </w:r>
    </w:p>
    <w:p>
      <w:pPr>
        <w:spacing w:after="60"/>
        <w:ind w:firstLine="567"/>
        <w:jc w:val="both"/>
      </w:pPr>
      <w:r>
        <w:rPr>
          <w:rFonts w:ascii="Arial" w:cs="Arial" w:eastAsia="Arial" w:hAnsi="Arial"/>
          <w:sz w:val="24"/>
          <w:szCs w:val="24"/>
        </w:rPr>
        <w:t xml:space="preserve">9. Предоставляемая медицинскими и фармацевтическими работниками информация, указанная в пункте 8 настоящего Порядка, должна содержать сведения:</w:t>
      </w:r>
    </w:p>
    <w:p>
      <w:pPr>
        <w:spacing w:after="60"/>
        <w:ind w:firstLine="567"/>
        <w:jc w:val="both"/>
      </w:pPr>
      <w:r>
        <w:rPr>
          <w:rFonts w:ascii="Arial" w:cs="Arial" w:eastAsia="Arial" w:hAnsi="Arial"/>
          <w:sz w:val="24"/>
          <w:szCs w:val="24"/>
        </w:rPr>
        <w:t xml:space="preserve">- об источнике информации (юридическое или физическое лицо, выявившее нежелательную реакцию, с наличием контактной информации);</w:t>
      </w:r>
    </w:p>
    <w:p>
      <w:pPr>
        <w:spacing w:after="60"/>
        <w:ind w:firstLine="567"/>
        <w:jc w:val="both"/>
      </w:pPr>
      <w:r>
        <w:rPr>
          <w:rFonts w:ascii="Arial" w:cs="Arial" w:eastAsia="Arial" w:hAnsi="Arial"/>
          <w:sz w:val="24"/>
          <w:szCs w:val="24"/>
        </w:rPr>
        <w:t xml:space="preserve">- о пациенте (физическое лицо, у которого наблюдалась нежелательная реакция);</w:t>
      </w:r>
    </w:p>
    <w:p>
      <w:pPr>
        <w:spacing w:after="60"/>
        <w:ind w:firstLine="567"/>
        <w:jc w:val="both"/>
      </w:pPr>
      <w:r>
        <w:rPr>
          <w:rFonts w:ascii="Arial" w:cs="Arial" w:eastAsia="Arial" w:hAnsi="Arial"/>
          <w:sz w:val="24"/>
          <w:szCs w:val="24"/>
        </w:rPr>
        <w:t xml:space="preserve">- о лекарственном препарате, при применении которого произошла нежелательная реакция;</w:t>
      </w:r>
    </w:p>
    <w:p>
      <w:pPr>
        <w:spacing w:after="60"/>
        <w:ind w:firstLine="567"/>
        <w:jc w:val="both"/>
      </w:pPr>
      <w:r>
        <w:rPr>
          <w:rFonts w:ascii="Arial" w:cs="Arial" w:eastAsia="Arial" w:hAnsi="Arial"/>
          <w:sz w:val="24"/>
          <w:szCs w:val="24"/>
        </w:rPr>
        <w:t xml:space="preserve">- о симптомах нежелательной реакции.</w:t>
      </w:r>
    </w:p>
    <w:p>
      <w:pPr>
        <w:spacing w:after="60"/>
        <w:ind w:firstLine="567"/>
        <w:jc w:val="both"/>
      </w:pPr>
      <w:r>
        <w:rPr>
          <w:rFonts w:ascii="Arial" w:cs="Arial" w:eastAsia="Arial" w:hAnsi="Arial"/>
          <w:sz w:val="24"/>
          <w:szCs w:val="24"/>
        </w:rPr>
        <w:t xml:space="preserve">10. Информация о выявленных медицинскими и фармацевтическими работниками нежелательных реакциях представляется в уполномоченный орган по форме согласно приложению 1 к настоящему Порядку:</w:t>
      </w:r>
    </w:p>
    <w:p>
      <w:pPr>
        <w:spacing w:after="60"/>
        <w:ind w:firstLine="567"/>
        <w:jc w:val="both"/>
      </w:pPr>
      <w:r>
        <w:rPr>
          <w:rFonts w:ascii="Arial" w:cs="Arial" w:eastAsia="Arial" w:hAnsi="Arial"/>
          <w:sz w:val="24"/>
          <w:szCs w:val="24"/>
        </w:rPr>
        <w:t xml:space="preserve">- в срок до 10 календарных дней со дня выявления случаев нежелательных реакций;</w:t>
      </w:r>
    </w:p>
    <w:p>
      <w:pPr>
        <w:spacing w:after="60"/>
        <w:ind w:firstLine="567"/>
        <w:jc w:val="both"/>
      </w:pPr>
      <w:r>
        <w:rPr>
          <w:rFonts w:ascii="Arial" w:cs="Arial" w:eastAsia="Arial" w:hAnsi="Arial"/>
          <w:sz w:val="24"/>
          <w:szCs w:val="24"/>
        </w:rPr>
        <w:t xml:space="preserve">- в срок до 3 календарных дней со дня выявления серьезных нежелательных реакций;</w:t>
      </w:r>
    </w:p>
    <w:p>
      <w:pPr>
        <w:spacing w:after="60"/>
        <w:ind w:firstLine="567"/>
        <w:jc w:val="both"/>
      </w:pPr>
      <w:r>
        <w:rPr>
          <w:rFonts w:ascii="Arial" w:cs="Arial" w:eastAsia="Arial" w:hAnsi="Arial"/>
          <w:sz w:val="24"/>
          <w:szCs w:val="24"/>
        </w:rPr>
        <w:t xml:space="preserve">- в срок до 3 календарных дней со дня выявления нежелательных реакций, причиной которых предполагается применение некачественного лекарственного препарата.</w:t>
      </w:r>
    </w:p>
    <w:p>
      <w:pPr>
        <w:spacing w:after="60"/>
        <w:ind w:firstLine="567"/>
        <w:jc w:val="both"/>
      </w:pPr>
      <w:r>
        <w:rPr>
          <w:rFonts w:ascii="Arial" w:cs="Arial" w:eastAsia="Arial" w:hAnsi="Arial"/>
          <w:sz w:val="24"/>
          <w:szCs w:val="24"/>
        </w:rPr>
        <w:t xml:space="preserve">11. Информация обо всех выявленных нежелательных реакциях фиксируется медицинскими работниками в истории болезни пациента, с сохранением отметки о направлении информации уполномоченному органу.</w:t>
      </w:r>
    </w:p>
    <w:p>
      <w:pPr>
        <w:spacing w:after="60"/>
        <w:ind w:firstLine="567"/>
        <w:jc w:val="both"/>
      </w:pPr>
      <w:r>
        <w:rPr>
          <w:rFonts w:ascii="Arial" w:cs="Arial" w:eastAsia="Arial" w:hAnsi="Arial"/>
          <w:sz w:val="24"/>
          <w:szCs w:val="24"/>
        </w:rPr>
        <w:t xml:space="preserve">12. Фармацевтические работники, при поступлении жалоб от физических лиц о случаях нежелательных реакций на приобретенное лекарственное средство, направляют информацию в уполномоченный орган по форме согласно </w:t>
      </w:r>
      <w:hyperlink w:history="1" r:id="rIdzobnzi9fso12o9k-36gzo">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13. При установлении уполномоченным органом неполноты представленной заявителем информации, уполномоченный орган направляет заявителю письменный запрос о предоставлении дополнительной информации о выявленных нежелательных реакциях, которая должна быть предоставлена им в срок, не превышающий 14 календарных дней со дня получения письменного запроса уполномоченного органа.</w:t>
      </w:r>
    </w:p>
    <w:p>
      <w:pPr>
        <w:spacing w:after="60"/>
        <w:ind w:firstLine="567"/>
        <w:jc w:val="both"/>
      </w:pPr>
      <w:r>
        <w:rPr>
          <w:rFonts w:ascii="Arial" w:cs="Arial" w:eastAsia="Arial" w:hAnsi="Arial"/>
          <w:sz w:val="24"/>
          <w:szCs w:val="24"/>
        </w:rPr>
        <w:t xml:space="preserve">14. Информация о нежелательных реакциях, о безопасности лекарственного препарата представляется в уполномоченный орган в письменной (бумажной) форме, либо направляются на электронный адрес уполномоченного органа, а также через заполнение онлайн-формы сообщений на сайте уполномоченного органа.</w:t>
      </w:r>
    </w:p>
    <w:p>
      <w:pPr>
        <w:spacing w:after="200" w:before="200"/>
        <w:jc w:val="center"/>
      </w:pPr>
      <w:r>
        <w:rPr>
          <w:rFonts w:ascii="Arial" w:cs="Arial" w:eastAsia="Arial" w:hAnsi="Arial"/>
          <w:b/>
          <w:bCs/>
          <w:sz w:val="24"/>
          <w:szCs w:val="24"/>
        </w:rPr>
        <w:t xml:space="preserve">Глава 3. Порядок предоставления отчетов по безопасности лекарственных препаратов</w:t>
      </w:r>
    </w:p>
    <w:p>
      <w:pPr>
        <w:spacing w:after="60"/>
        <w:ind w:firstLine="567"/>
        <w:jc w:val="both"/>
      </w:pPr>
      <w:r>
        <w:rPr>
          <w:rFonts w:ascii="Arial" w:cs="Arial" w:eastAsia="Arial" w:hAnsi="Arial"/>
          <w:sz w:val="24"/>
          <w:szCs w:val="24"/>
        </w:rPr>
        <w:t xml:space="preserve">15. Держатели регистрационных удостоверений представляют в уполномоченный орган периодические отчеты по безопасности лекарственных препаратов (далее - периодические отчеты) в соответствии с требованиями к каждому разделу, установленными Правилами надлежащей практики фармаконадзора.</w:t>
      </w:r>
    </w:p>
    <w:p>
      <w:pPr>
        <w:spacing w:after="60"/>
        <w:ind w:firstLine="567"/>
        <w:jc w:val="both"/>
      </w:pPr>
      <w:r>
        <w:rPr>
          <w:rFonts w:ascii="Arial" w:cs="Arial" w:eastAsia="Arial" w:hAnsi="Arial"/>
          <w:sz w:val="24"/>
          <w:szCs w:val="24"/>
        </w:rPr>
        <w:t xml:space="preserve">16. Уполномоченный орган формирует перечень лекарственных препаратов по их международным непатентованным наименованиям, с указанием сроков предоставления периодических отчетов держателями регистрационных удостоверений.</w:t>
      </w:r>
    </w:p>
    <w:p>
      <w:pPr>
        <w:spacing w:after="60"/>
        <w:ind w:firstLine="567"/>
        <w:jc w:val="both"/>
      </w:pPr>
      <w:r>
        <w:rPr>
          <w:rFonts w:ascii="Arial" w:cs="Arial" w:eastAsia="Arial" w:hAnsi="Arial"/>
          <w:sz w:val="24"/>
          <w:szCs w:val="24"/>
        </w:rPr>
        <w:t xml:space="preserve">17. Для лекарственных препаратов, периодичность представления периодических отчетов держателями регистрационных удостоверений составляет:</w:t>
      </w:r>
    </w:p>
    <w:p>
      <w:pPr>
        <w:spacing w:after="60"/>
        <w:ind w:firstLine="567"/>
        <w:jc w:val="both"/>
      </w:pPr>
      <w:r>
        <w:rPr>
          <w:rFonts w:ascii="Arial" w:cs="Arial" w:eastAsia="Arial" w:hAnsi="Arial"/>
          <w:sz w:val="24"/>
          <w:szCs w:val="24"/>
        </w:rPr>
        <w:t xml:space="preserve">- каждые 6 месяцев от даты первой государственной регистрации в мире на протяжении первых 2 лет;</w:t>
      </w:r>
    </w:p>
    <w:p>
      <w:pPr>
        <w:spacing w:after="60"/>
        <w:ind w:firstLine="567"/>
        <w:jc w:val="both"/>
      </w:pPr>
      <w:r>
        <w:rPr>
          <w:rFonts w:ascii="Arial" w:cs="Arial" w:eastAsia="Arial" w:hAnsi="Arial"/>
          <w:sz w:val="24"/>
          <w:szCs w:val="24"/>
        </w:rPr>
        <w:t xml:space="preserve">- ежегодно на протяжении последующих 2 лет;</w:t>
      </w:r>
    </w:p>
    <w:p>
      <w:pPr>
        <w:spacing w:after="60"/>
        <w:ind w:firstLine="567"/>
        <w:jc w:val="both"/>
      </w:pPr>
      <w:r>
        <w:rPr>
          <w:rFonts w:ascii="Arial" w:cs="Arial" w:eastAsia="Arial" w:hAnsi="Arial"/>
          <w:sz w:val="24"/>
          <w:szCs w:val="24"/>
        </w:rPr>
        <w:t xml:space="preserve">- далее - каждые 3 года.</w:t>
      </w:r>
    </w:p>
    <w:p>
      <w:pPr>
        <w:spacing w:after="60"/>
        <w:ind w:firstLine="567"/>
        <w:jc w:val="both"/>
      </w:pPr>
      <w:r>
        <w:rPr>
          <w:rFonts w:ascii="Arial" w:cs="Arial" w:eastAsia="Arial" w:hAnsi="Arial"/>
          <w:sz w:val="24"/>
          <w:szCs w:val="24"/>
        </w:rPr>
        <w:t xml:space="preserve">18. Давность информации, содержащейся в периодических отчетах и предоставляемой держателями регистрационных удостоверений в уполномоченный орган, не должна превышать период, равный 90 календарным дням со дня окончания сбора информации держателями регистрационных удостоверений.</w:t>
      </w:r>
    </w:p>
    <w:p>
      <w:pPr>
        <w:spacing w:after="60"/>
        <w:ind w:firstLine="567"/>
        <w:jc w:val="both"/>
      </w:pPr>
      <w:r>
        <w:rPr>
          <w:rFonts w:ascii="Arial" w:cs="Arial" w:eastAsia="Arial" w:hAnsi="Arial"/>
          <w:sz w:val="24"/>
          <w:szCs w:val="24"/>
        </w:rPr>
        <w:t xml:space="preserve">19. При выявлении уполномоченным органом случаев о нежелательных реакциях, а также при получении им информации по безопасности и эффективности лекарственного препарата, содержащей данные о влиянии на соотношение ожидаемой пользы к возможному риску применения лекарственного препарата, уполномоченный орган направляет держателю регистрационного удостоверения запрос о предоставлении внеочередного периодического отчета.</w:t>
      </w:r>
    </w:p>
    <w:p>
      <w:pPr>
        <w:spacing w:after="60"/>
        <w:ind w:firstLine="567"/>
        <w:jc w:val="both"/>
      </w:pPr>
      <w:r>
        <w:rPr>
          <w:rFonts w:ascii="Arial" w:cs="Arial" w:eastAsia="Arial" w:hAnsi="Arial"/>
          <w:sz w:val="24"/>
          <w:szCs w:val="24"/>
        </w:rPr>
        <w:t xml:space="preserve">20. Внеочередной периодический отчет представляется держателем регистрационного удостоверения в срок, не превышающий 60 календарных дней со дня получения письменного запроса уполномоченного органа.</w:t>
      </w:r>
    </w:p>
    <w:p>
      <w:pPr>
        <w:spacing w:after="60"/>
        <w:ind w:firstLine="567"/>
        <w:jc w:val="both"/>
      </w:pPr>
      <w:r>
        <w:rPr>
          <w:rFonts w:ascii="Arial" w:cs="Arial" w:eastAsia="Arial" w:hAnsi="Arial"/>
          <w:sz w:val="24"/>
          <w:szCs w:val="24"/>
        </w:rPr>
        <w:t xml:space="preserve">21. Держатель регистрационного удостоверения в срок, не превышающий 10 рабочих дней со дня получения уведомления уполномоченного органа о выявлении несоответствий в информации, содержащейся в периодический отчет, вносит соответствующие изменения в периодическом отчете.</w:t>
      </w:r>
    </w:p>
    <w:p>
      <w:pPr>
        <w:spacing w:after="60"/>
        <w:ind w:firstLine="567"/>
        <w:jc w:val="both"/>
      </w:pPr>
      <w:r>
        <w:rPr>
          <w:rFonts w:ascii="Arial" w:cs="Arial" w:eastAsia="Arial" w:hAnsi="Arial"/>
          <w:sz w:val="24"/>
          <w:szCs w:val="24"/>
        </w:rPr>
        <w:t xml:space="preserve">22. Держатель регистрационного удостоверения, в срок, не превышающий 15 рабочих дней со дня получения уведомления уполномоченного органа о выявлении в периодическом отчете несоответствия данных, инициирует процедуру внесения изменений в регистрационное досье лекарственного препарата.</w:t>
      </w:r>
    </w:p>
    <w:p>
      <w:pPr>
        <w:spacing w:after="60"/>
        <w:ind w:firstLine="567"/>
        <w:jc w:val="both"/>
      </w:pPr>
      <w:r>
        <w:rPr>
          <w:rFonts w:ascii="Arial" w:cs="Arial" w:eastAsia="Arial" w:hAnsi="Arial"/>
          <w:sz w:val="24"/>
          <w:szCs w:val="24"/>
        </w:rPr>
        <w:t xml:space="preserve">23. Держатель регистрационного удостоверения обязан иметь в штатном расписании постоянно действующее уполномоченное лицо по фармаконадзору, обладающее квалификацией в соответствии с требованиями Правил надлежащей практики фармаконадзора.</w:t>
      </w:r>
    </w:p>
    <w:p>
      <w:pPr>
        <w:spacing w:after="60"/>
        <w:ind w:firstLine="567"/>
        <w:jc w:val="both"/>
      </w:pPr>
      <w:r>
        <w:rPr>
          <w:rFonts w:ascii="Arial" w:cs="Arial" w:eastAsia="Arial" w:hAnsi="Arial"/>
          <w:sz w:val="24"/>
          <w:szCs w:val="24"/>
        </w:rPr>
        <w:t xml:space="preserve">24. При смене уполномоченного лица по фармаконадзору, держатель регистрационного удостоверения представляет в уполномоченный орган в срок, не позднее 3 рабочих дней со дня назначения нового уполномоченного лица по фармаконадзору, копию приказа о его назначении и должностную инструкцию.</w:t>
      </w:r>
    </w:p>
    <w:p>
      <w:pPr>
        <w:spacing w:after="200" w:before="200"/>
        <w:jc w:val="center"/>
      </w:pPr>
      <w:r>
        <w:rPr>
          <w:rFonts w:ascii="Arial" w:cs="Arial" w:eastAsia="Arial" w:hAnsi="Arial"/>
          <w:b/>
          <w:bCs/>
          <w:sz w:val="24"/>
          <w:szCs w:val="24"/>
        </w:rPr>
        <w:t xml:space="preserve">Глава 4. Оценка информации и принятие мер уполномоченным органом</w:t>
      </w:r>
    </w:p>
    <w:p>
      <w:pPr>
        <w:spacing w:after="60"/>
        <w:ind w:firstLine="567"/>
        <w:jc w:val="both"/>
      </w:pPr>
      <w:r>
        <w:rPr>
          <w:rFonts w:ascii="Arial" w:cs="Arial" w:eastAsia="Arial" w:hAnsi="Arial"/>
          <w:sz w:val="24"/>
          <w:szCs w:val="24"/>
        </w:rPr>
        <w:t xml:space="preserve">25. Уполномоченный орган систематизирует и анализирует:</w:t>
      </w:r>
    </w:p>
    <w:p>
      <w:pPr>
        <w:spacing w:after="60"/>
        <w:ind w:firstLine="567"/>
        <w:jc w:val="both"/>
      </w:pPr>
      <w:r>
        <w:rPr>
          <w:rFonts w:ascii="Arial" w:cs="Arial" w:eastAsia="Arial" w:hAnsi="Arial"/>
          <w:sz w:val="24"/>
          <w:szCs w:val="24"/>
        </w:rPr>
        <w:t xml:space="preserve">- полученную информацию о нежелательных реакциях;</w:t>
      </w:r>
    </w:p>
    <w:p>
      <w:pPr>
        <w:spacing w:after="60"/>
        <w:ind w:firstLine="567"/>
        <w:jc w:val="both"/>
      </w:pPr>
      <w:r>
        <w:rPr>
          <w:rFonts w:ascii="Arial" w:cs="Arial" w:eastAsia="Arial" w:hAnsi="Arial"/>
          <w:sz w:val="24"/>
          <w:szCs w:val="24"/>
        </w:rPr>
        <w:t xml:space="preserve">- риски, связанные с качеством, безопасностью или эффективностью лекарственного препарата по отношению к здоровью пациентов или населения или ведущие к нежелательному воздействию на окружающую среду;</w:t>
      </w:r>
    </w:p>
    <w:p>
      <w:pPr>
        <w:spacing w:after="60"/>
        <w:ind w:firstLine="567"/>
        <w:jc w:val="both"/>
      </w:pPr>
      <w:r>
        <w:rPr>
          <w:rFonts w:ascii="Arial" w:cs="Arial" w:eastAsia="Arial" w:hAnsi="Arial"/>
          <w:sz w:val="24"/>
          <w:szCs w:val="24"/>
        </w:rPr>
        <w:t xml:space="preserve">- информацию о зарегистрированных случаях заболевания инфекционными болезнями, управляемыми средствами специфической иммунопрофилактики привитых лиц;</w:t>
      </w:r>
    </w:p>
    <w:p>
      <w:pPr>
        <w:spacing w:after="60"/>
        <w:ind w:firstLine="567"/>
        <w:jc w:val="both"/>
      </w:pPr>
      <w:r>
        <w:rPr>
          <w:rFonts w:ascii="Arial" w:cs="Arial" w:eastAsia="Arial" w:hAnsi="Arial"/>
          <w:sz w:val="24"/>
          <w:szCs w:val="24"/>
        </w:rPr>
        <w:t xml:space="preserve">- регулярные отчеты по безопасности;</w:t>
      </w:r>
    </w:p>
    <w:p>
      <w:pPr>
        <w:spacing w:after="60"/>
        <w:ind w:firstLine="567"/>
        <w:jc w:val="both"/>
      </w:pPr>
      <w:r>
        <w:rPr>
          <w:rFonts w:ascii="Arial" w:cs="Arial" w:eastAsia="Arial" w:hAnsi="Arial"/>
          <w:sz w:val="24"/>
          <w:szCs w:val="24"/>
        </w:rPr>
        <w:t xml:space="preserve">- планы управления рисками.</w:t>
      </w:r>
    </w:p>
    <w:p>
      <w:pPr>
        <w:spacing w:after="60"/>
        <w:ind w:firstLine="567"/>
        <w:jc w:val="both"/>
      </w:pPr>
      <w:r>
        <w:rPr>
          <w:rFonts w:ascii="Arial" w:cs="Arial" w:eastAsia="Arial" w:hAnsi="Arial"/>
          <w:sz w:val="24"/>
          <w:szCs w:val="24"/>
        </w:rPr>
        <w:t xml:space="preserve">26. Уполномоченный орган осуществляет:</w:t>
      </w:r>
    </w:p>
    <w:p>
      <w:pPr>
        <w:spacing w:after="60"/>
        <w:ind w:firstLine="567"/>
        <w:jc w:val="both"/>
      </w:pPr>
      <w:r>
        <w:rPr>
          <w:rFonts w:ascii="Arial" w:cs="Arial" w:eastAsia="Arial" w:hAnsi="Arial"/>
          <w:sz w:val="24"/>
          <w:szCs w:val="24"/>
        </w:rPr>
        <w:t xml:space="preserve">- оценку качества данных по безопасности и эффективности лекарственных препаратов;</w:t>
      </w:r>
    </w:p>
    <w:p>
      <w:pPr>
        <w:spacing w:after="60"/>
        <w:ind w:firstLine="567"/>
        <w:jc w:val="both"/>
      </w:pPr>
      <w:r>
        <w:rPr>
          <w:rFonts w:ascii="Arial" w:cs="Arial" w:eastAsia="Arial" w:hAnsi="Arial"/>
          <w:sz w:val="24"/>
          <w:szCs w:val="24"/>
        </w:rPr>
        <w:t xml:space="preserve">- хранение данных по безопасности и эффективности лекарственных препаратов;</w:t>
      </w:r>
    </w:p>
    <w:p>
      <w:pPr>
        <w:spacing w:after="60"/>
        <w:ind w:firstLine="567"/>
        <w:jc w:val="both"/>
      </w:pPr>
      <w:r>
        <w:rPr>
          <w:rFonts w:ascii="Arial" w:cs="Arial" w:eastAsia="Arial" w:hAnsi="Arial"/>
          <w:sz w:val="24"/>
          <w:szCs w:val="24"/>
        </w:rPr>
        <w:t xml:space="preserve">- оценку причинно-следственной связи между наступившим вредом и применением лекарственных препаратов, а также оценку критериев предсказуемости/непредсказуемости, степени серьезности;</w:t>
      </w:r>
    </w:p>
    <w:p>
      <w:pPr>
        <w:spacing w:after="60"/>
        <w:ind w:firstLine="567"/>
        <w:jc w:val="both"/>
      </w:pPr>
      <w:r>
        <w:rPr>
          <w:rFonts w:ascii="Arial" w:cs="Arial" w:eastAsia="Arial" w:hAnsi="Arial"/>
          <w:sz w:val="24"/>
          <w:szCs w:val="24"/>
        </w:rPr>
        <w:t xml:space="preserve">- выявление/управление сигналом;</w:t>
      </w:r>
    </w:p>
    <w:p>
      <w:pPr>
        <w:spacing w:after="60"/>
        <w:ind w:firstLine="567"/>
        <w:jc w:val="both"/>
      </w:pPr>
      <w:r>
        <w:rPr>
          <w:rFonts w:ascii="Arial" w:cs="Arial" w:eastAsia="Arial" w:hAnsi="Arial"/>
          <w:sz w:val="24"/>
          <w:szCs w:val="24"/>
        </w:rPr>
        <w:t xml:space="preserve">- оценку соотношения "польза-риск";</w:t>
      </w:r>
    </w:p>
    <w:p>
      <w:pPr>
        <w:spacing w:after="60"/>
        <w:ind w:firstLine="567"/>
        <w:jc w:val="both"/>
      </w:pPr>
      <w:r>
        <w:rPr>
          <w:rFonts w:ascii="Arial" w:cs="Arial" w:eastAsia="Arial" w:hAnsi="Arial"/>
          <w:sz w:val="24"/>
          <w:szCs w:val="24"/>
        </w:rPr>
        <w:t xml:space="preserve">- оценку эффективности мер по минимизации/предотвращении рисков, принятых заявителем.</w:t>
      </w:r>
    </w:p>
    <w:p>
      <w:pPr>
        <w:spacing w:after="60"/>
        <w:ind w:firstLine="567"/>
        <w:jc w:val="both"/>
      </w:pPr>
      <w:r>
        <w:rPr>
          <w:rFonts w:ascii="Arial" w:cs="Arial" w:eastAsia="Arial" w:hAnsi="Arial"/>
          <w:sz w:val="24"/>
          <w:szCs w:val="24"/>
        </w:rPr>
        <w:t xml:space="preserve">27. По письменному запросу уполномоченного органа, держатели регистрационных удостоверений представляют планы управления рисками, в срок не позднее 60 рабочих дней со дня получения письменного запроса уполномоченного органа, в следующих случаях:</w:t>
      </w:r>
    </w:p>
    <w:p>
      <w:pPr>
        <w:spacing w:after="60"/>
        <w:ind w:firstLine="567"/>
        <w:jc w:val="both"/>
      </w:pPr>
      <w:r>
        <w:rPr>
          <w:rFonts w:ascii="Arial" w:cs="Arial" w:eastAsia="Arial" w:hAnsi="Arial"/>
          <w:sz w:val="24"/>
          <w:szCs w:val="24"/>
        </w:rPr>
        <w:t xml:space="preserve">- при внесении значительных изменений в существующее регистрационное удостоверение о государственной регистрации лекарственного средства (далее - регистрационное удостоверение), область применения, аспекты производственного процесса (например, новая лекарственная форма, новый способ введения, новый способ производства биотехнологических лекарственных препаратов, введение педиатрических показаний, другие значительные изменения в показаниях);</w:t>
      </w:r>
    </w:p>
    <w:p>
      <w:pPr>
        <w:spacing w:after="60"/>
        <w:ind w:firstLine="567"/>
        <w:jc w:val="both"/>
      </w:pPr>
      <w:r>
        <w:rPr>
          <w:rFonts w:ascii="Arial" w:cs="Arial" w:eastAsia="Arial" w:hAnsi="Arial"/>
          <w:sz w:val="24"/>
          <w:szCs w:val="24"/>
        </w:rPr>
        <w:t xml:space="preserve">- при наличии фактора, оказывающего влияние на соотношение "польза-риск";</w:t>
      </w:r>
    </w:p>
    <w:p>
      <w:pPr>
        <w:spacing w:after="60"/>
        <w:ind w:firstLine="567"/>
        <w:jc w:val="both"/>
      </w:pPr>
      <w:r>
        <w:rPr>
          <w:rFonts w:ascii="Arial" w:cs="Arial" w:eastAsia="Arial" w:hAnsi="Arial"/>
          <w:sz w:val="24"/>
          <w:szCs w:val="24"/>
        </w:rPr>
        <w:t xml:space="preserve">- при подтверждении регистрации (перерегистрации) лекарственного средства, если в отношении лекарственного средства имеется действующий план управления рисками.</w:t>
      </w:r>
    </w:p>
    <w:p>
      <w:pPr>
        <w:spacing w:after="60"/>
        <w:ind w:firstLine="567"/>
        <w:jc w:val="both"/>
      </w:pPr>
      <w:r>
        <w:rPr>
          <w:rFonts w:ascii="Arial" w:cs="Arial" w:eastAsia="Arial" w:hAnsi="Arial"/>
          <w:sz w:val="24"/>
          <w:szCs w:val="24"/>
        </w:rPr>
        <w:t xml:space="preserve">28. Держатель регистрационного удостоверения в течение 20 календарных дней после получения уведомления уполномоченного органа о необходимости внесения изменений в план управления рисками, представляет в уполномоченный орган план управления рисками с внесенными изменениями.</w:t>
      </w:r>
    </w:p>
    <w:p>
      <w:pPr>
        <w:spacing w:after="60"/>
        <w:ind w:firstLine="567"/>
        <w:jc w:val="both"/>
      </w:pPr>
      <w:r>
        <w:rPr>
          <w:rFonts w:ascii="Arial" w:cs="Arial" w:eastAsia="Arial" w:hAnsi="Arial"/>
          <w:sz w:val="24"/>
          <w:szCs w:val="24"/>
        </w:rPr>
        <w:t xml:space="preserve">29. При проверке и оценке периодических отчетов, а также выявлении несоответствия в информации, уполномоченный орган направляет держателю регистрационного удостоверения в срок, не превышающий 10 рабочих дней со дня получения периодического отчета, уведомление о внесении в него изменений.</w:t>
      </w:r>
    </w:p>
    <w:p>
      <w:pPr>
        <w:spacing w:after="60"/>
        <w:ind w:firstLine="567"/>
        <w:jc w:val="both"/>
      </w:pPr>
      <w:r>
        <w:rPr>
          <w:rFonts w:ascii="Arial" w:cs="Arial" w:eastAsia="Arial" w:hAnsi="Arial"/>
          <w:sz w:val="24"/>
          <w:szCs w:val="24"/>
        </w:rPr>
        <w:t xml:space="preserve">30. Уполномоченный орган направляет держателю регистрационного удостоверения в срок, не позднее 3 рабочих дней со дня проведения оценки периодического отчета и выявления в нем несоответствия данных, уведомление об инициировании процедуры внесения изменений в регистрационное досье лекарственного препарата.</w:t>
      </w:r>
    </w:p>
    <w:p>
      <w:pPr>
        <w:spacing w:after="60"/>
        <w:ind w:firstLine="567"/>
        <w:jc w:val="both"/>
      </w:pPr>
      <w:r>
        <w:rPr>
          <w:rFonts w:ascii="Arial" w:cs="Arial" w:eastAsia="Arial" w:hAnsi="Arial"/>
          <w:sz w:val="24"/>
          <w:szCs w:val="24"/>
        </w:rPr>
        <w:t xml:space="preserve">31. По итогам проведенной уполномоченным органом проверки данных, указанных в пункте 5 настоящего Порядка, и подтверждении оценки о превышении соотношения "польза-риск" при применении лекарственного препарата, уполномоченный орган, в срок не позднее 5 рабочих дней со дня проведения соответствующей оценки, направляет держателю регистрационного удостоверения уведомление о принятии мер по обеспечению безопасности применения лекарственного препарата, в частности:</w:t>
      </w:r>
    </w:p>
    <w:p>
      <w:pPr>
        <w:spacing w:after="60"/>
        <w:ind w:firstLine="567"/>
        <w:jc w:val="both"/>
      </w:pPr>
      <w:r>
        <w:rPr>
          <w:rFonts w:ascii="Arial" w:cs="Arial" w:eastAsia="Arial" w:hAnsi="Arial"/>
          <w:sz w:val="24"/>
          <w:szCs w:val="24"/>
        </w:rPr>
        <w:t xml:space="preserve">- о внесении изменений в инструкцию по медицинскому применению и (или) листок-вкладыш;</w:t>
      </w:r>
    </w:p>
    <w:p>
      <w:pPr>
        <w:spacing w:after="60"/>
        <w:ind w:firstLine="567"/>
        <w:jc w:val="both"/>
      </w:pPr>
      <w:r>
        <w:rPr>
          <w:rFonts w:ascii="Arial" w:cs="Arial" w:eastAsia="Arial" w:hAnsi="Arial"/>
          <w:sz w:val="24"/>
          <w:szCs w:val="24"/>
        </w:rPr>
        <w:t xml:space="preserve">- о введении (корректировки) плана управления рисками в соответствии с требованиями Правил надлежащей практики фармаконадзора.</w:t>
      </w:r>
    </w:p>
    <w:p>
      <w:pPr>
        <w:spacing w:after="60"/>
        <w:ind w:firstLine="567"/>
        <w:jc w:val="both"/>
      </w:pPr>
      <w:r>
        <w:rPr>
          <w:rFonts w:ascii="Arial" w:cs="Arial" w:eastAsia="Arial" w:hAnsi="Arial"/>
          <w:sz w:val="24"/>
          <w:szCs w:val="24"/>
        </w:rPr>
        <w:t xml:space="preserve">32. Уполномоченный орган направляет держателю регистрационного удостоверения в срок до 5 рабочих дней со дня выявления сигнала - получения новой информации по изменению профиля безопасности или эффективности, а также при подозрении на ненадлежащее качество лекарственного препарата, уведомление о проведении следующих мероприятий:</w:t>
      </w:r>
    </w:p>
    <w:p>
      <w:pPr>
        <w:spacing w:after="60"/>
        <w:ind w:firstLine="567"/>
        <w:jc w:val="both"/>
      </w:pPr>
      <w:r>
        <w:rPr>
          <w:rFonts w:ascii="Arial" w:cs="Arial" w:eastAsia="Arial" w:hAnsi="Arial"/>
          <w:sz w:val="24"/>
          <w:szCs w:val="24"/>
        </w:rPr>
        <w:t xml:space="preserve">- по установлению дополнительных мер для подтверждения профиля безопасности и/или эффективности лекарственного препарата;</w:t>
      </w:r>
    </w:p>
    <w:p>
      <w:pPr>
        <w:spacing w:after="60"/>
        <w:ind w:firstLine="567"/>
        <w:jc w:val="both"/>
      </w:pPr>
      <w:r>
        <w:rPr>
          <w:rFonts w:ascii="Arial" w:cs="Arial" w:eastAsia="Arial" w:hAnsi="Arial"/>
          <w:sz w:val="24"/>
          <w:szCs w:val="24"/>
        </w:rPr>
        <w:t xml:space="preserve">- по контролю за качеством лекарственного препарата;</w:t>
      </w:r>
    </w:p>
    <w:p>
      <w:pPr>
        <w:spacing w:after="60"/>
        <w:ind w:firstLine="567"/>
        <w:jc w:val="both"/>
      </w:pPr>
      <w:r>
        <w:rPr>
          <w:rFonts w:ascii="Arial" w:cs="Arial" w:eastAsia="Arial" w:hAnsi="Arial"/>
          <w:sz w:val="24"/>
          <w:szCs w:val="24"/>
        </w:rPr>
        <w:t xml:space="preserve">- по исследованию сравнительной кинетики растворения лекарственных препаратов;</w:t>
      </w:r>
    </w:p>
    <w:p>
      <w:pPr>
        <w:spacing w:after="60"/>
        <w:ind w:firstLine="567"/>
        <w:jc w:val="both"/>
      </w:pPr>
      <w:r>
        <w:rPr>
          <w:rFonts w:ascii="Arial" w:cs="Arial" w:eastAsia="Arial" w:hAnsi="Arial"/>
          <w:sz w:val="24"/>
          <w:szCs w:val="24"/>
        </w:rPr>
        <w:t xml:space="preserve">- по организации фармакокинетических, фармакодинамических, эпидемиологических исследований.</w:t>
      </w:r>
    </w:p>
    <w:p>
      <w:pPr>
        <w:spacing w:after="60"/>
        <w:ind w:firstLine="567"/>
        <w:jc w:val="both"/>
      </w:pPr>
      <w:r>
        <w:rPr>
          <w:rFonts w:ascii="Arial" w:cs="Arial" w:eastAsia="Arial" w:hAnsi="Arial"/>
          <w:sz w:val="24"/>
          <w:szCs w:val="24"/>
        </w:rPr>
        <w:t xml:space="preserve">33. Уполномоченный орган на основании доказанного в соответствии с заключением экспертизы неблагоприятного соотношения "польза-риск" или выявления документально подтвержденной недостаточной терапевтической эффективности лекарственного средства, при соблюдении условий его применения, описанных в инструкции по медицинскому применению, принимает решение о приостановлении действия регистрационного удостоверения на срок до 6 месяцев. Применение и реализация лекарственного средства на период приостановления регистрационного удостоверения не допускаются.</w:t>
      </w:r>
    </w:p>
    <w:p>
      <w:pPr>
        <w:spacing w:after="60"/>
        <w:ind w:firstLine="567"/>
        <w:jc w:val="both"/>
      </w:pPr>
      <w:r>
        <w:rPr>
          <w:rFonts w:ascii="Arial" w:cs="Arial" w:eastAsia="Arial" w:hAnsi="Arial"/>
          <w:sz w:val="24"/>
          <w:szCs w:val="24"/>
        </w:rPr>
        <w:t xml:space="preserve">34. Решение о возобновлении действия регистрационного удостоверения принимается уполномоченным органом в течение 5 рабочих дней со дня получения от держателя регистрационного удостоверения уведомления (с приложением документов) о выполненных мероприятиях по устранению причин, послуживших основанием для приостановления действия регистрационного удостоверения.</w:t>
      </w:r>
    </w:p>
    <w:p>
      <w:pPr>
        <w:spacing w:after="60"/>
        <w:ind w:firstLine="567"/>
        <w:jc w:val="both"/>
      </w:pPr>
      <w:r>
        <w:rPr>
          <w:rFonts w:ascii="Arial" w:cs="Arial" w:eastAsia="Arial" w:hAnsi="Arial"/>
          <w:sz w:val="24"/>
          <w:szCs w:val="24"/>
        </w:rPr>
        <w:t xml:space="preserve">35. При получении и подтверждении уполномоченным органом новых системных данных - данных, свидетельствующих об изменении профиля безопасности лекарственного средства, как неблагоприятного, и превосходстве рисков, связанных с применением лекарственного препарата над получаемой пользой, уполномоченный орган принимает решение об аннулировании (отзыве) регистрационного удостоверения и изъятии из обращения лекарственного средства.</w:t>
      </w:r>
    </w:p>
    <w:p>
      <w:pPr>
        <w:spacing w:after="60"/>
        <w:ind w:firstLine="567"/>
        <w:jc w:val="both"/>
      </w:pPr>
      <w:r>
        <w:rPr>
          <w:rFonts w:ascii="Arial" w:cs="Arial" w:eastAsia="Arial" w:hAnsi="Arial"/>
          <w:sz w:val="24"/>
          <w:szCs w:val="24"/>
        </w:rPr>
        <w:t xml:space="preserve">36. Уполномоченный орган направляет держателю регистрационного удостоверения письменное уведомление, с приложением принятого решения, о приостановлении действия регистрационного удостоверения или аннулировании (отзыве) регистрационного удостоверения, в течение 5 рабочих дней со дня принятия уполномоченным органом решения о приостановлении действия регистрационного удостоверения или аннулировании (отзыве) регистрационного удостоверения.</w:t>
      </w:r>
    </w:p>
    <w:p>
      <w:pPr>
        <w:spacing w:after="60"/>
        <w:ind w:firstLine="567"/>
        <w:jc w:val="both"/>
      </w:pPr>
      <w:r>
        <w:rPr>
          <w:rFonts w:ascii="Arial" w:cs="Arial" w:eastAsia="Arial" w:hAnsi="Arial"/>
          <w:sz w:val="24"/>
          <w:szCs w:val="24"/>
        </w:rPr>
        <w:t xml:space="preserve">37. В случае аннулирования (отзыва) регистрационного удостоверения, уполномоченный орган принимает меры и/или действия, направленные на прекращение поставок/реализации лекарственного средства, регистрационное удостоверение которого было аннулировано уполномоченным органом, а также меры по изъятию из обращения лекарственных средств. Датой прекращения действия регистрационного удостоверения является дата внесения соответствующей записи в Государственный реестр лекарственных средств Кыргызской Республики - официальный источник информации о зарегистрированных лекарственных средствах.</w:t>
      </w:r>
    </w:p>
    <w:p>
      <w:pPr>
        <w:spacing w:after="60"/>
        <w:ind w:firstLine="567"/>
        <w:jc w:val="both"/>
      </w:pPr>
      <w:r>
        <w:rPr>
          <w:rFonts w:ascii="Arial" w:cs="Arial" w:eastAsia="Arial" w:hAnsi="Arial"/>
          <w:sz w:val="24"/>
          <w:szCs w:val="24"/>
        </w:rPr>
        <w:t xml:space="preserve">38. Действия уполномоченного органа, осуществляющего фармаконадзор, могут быть обжалованы заинтересованными лицами в соответствии с законодательством Кыргызской Республики в сфере административной деятельности и об административных процедурах.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Порядку организации системы фармаконадзора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Сообщение
 о нежелательной реакции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28"/>
        <w:gridCol w:w="1628"/>
        <w:gridCol w:w="1628"/>
        <w:gridCol w:w="1628"/>
        <w:gridCol w:w="1222"/>
        <w:gridCol w:w="1222"/>
        <w:gridCol w:w="1222"/>
      </w:tblGrid>
      <w:tr>
        <w:tc>
          <w:tcPr>
            <w:tcW w:type="dxa" w:w="6512"/>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Медицинский или фармацевтический работник, сообщающий о нежелательной реакции</w:t>
            </w:r>
          </w:p>
          <w:p>
            <w:pPr>
              <w:jc w:val="left"/>
            </w:pPr>
            <w:r>
              <w:rPr>
                <w:rFonts w:ascii="Arial" w:cs="Arial" w:eastAsia="Arial" w:hAnsi="Arial"/>
                <w:sz w:val="24"/>
                <w:szCs w:val="24"/>
              </w:rPr>
              <w:t xml:space="preserve">Фамилия, имя, отчество:</w:t>
            </w:r>
          </w:p>
          <w:p>
            <w:pPr>
              <w:jc w:val="left"/>
            </w:pPr>
            <w:r>
              <w:rPr>
                <w:rFonts w:ascii="Arial" w:cs="Arial" w:eastAsia="Arial" w:hAnsi="Arial"/>
                <w:sz w:val="24"/>
                <w:szCs w:val="24"/>
              </w:rPr>
              <w:t xml:space="preserve">Телефон:</w:t>
            </w:r>
          </w:p>
          <w:p>
            <w:pPr>
              <w:jc w:val="left"/>
            </w:pPr>
            <w:r>
              <w:rPr>
                <w:rFonts w:ascii="Arial" w:cs="Arial" w:eastAsia="Arial" w:hAnsi="Arial"/>
                <w:sz w:val="24"/>
                <w:szCs w:val="24"/>
              </w:rPr>
              <w:t xml:space="preserve">Должность и место работы:</w:t>
            </w:r>
          </w:p>
          <w:p>
            <w:pPr>
              <w:jc w:val="left"/>
            </w:pPr>
            <w:r>
              <w:rPr>
                <w:rFonts w:ascii="Arial" w:cs="Arial" w:eastAsia="Arial" w:hAnsi="Arial"/>
                <w:sz w:val="24"/>
                <w:szCs w:val="24"/>
              </w:rPr>
              <w:t xml:space="preserve">Адрес учреждения:</w:t>
            </w:r>
          </w:p>
          <w:p>
            <w:pPr>
              <w:jc w:val="left"/>
            </w:pPr>
            <w:r>
              <w:rPr>
                <w:rFonts w:ascii="Arial" w:cs="Arial" w:eastAsia="Arial" w:hAnsi="Arial"/>
                <w:sz w:val="24"/>
                <w:szCs w:val="24"/>
              </w:rPr>
              <w:t xml:space="preserve">Электронный адрес:</w:t>
            </w:r>
          </w:p>
        </w:tc>
        <w:tc>
          <w:tcPr>
            <w:tcW w:type="dxa" w:w="3666"/>
            <w:gridSpan w:val="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пациенте</w:t>
            </w:r>
          </w:p>
          <w:p>
            <w:pPr>
              <w:jc w:val="left"/>
            </w:pPr>
            <w:r>
              <w:rPr>
                <w:rFonts w:ascii="Arial" w:cs="Arial" w:eastAsia="Arial" w:hAnsi="Arial"/>
                <w:sz w:val="24"/>
                <w:szCs w:val="24"/>
              </w:rPr>
              <w:t xml:space="preserve">Инициалы:</w:t>
            </w:r>
          </w:p>
          <w:p>
            <w:pPr>
              <w:jc w:val="left"/>
            </w:pPr>
            <w:r>
              <w:rPr>
                <w:rFonts w:ascii="Arial" w:cs="Arial" w:eastAsia="Arial" w:hAnsi="Arial"/>
                <w:sz w:val="24"/>
                <w:szCs w:val="24"/>
              </w:rPr>
              <w:t xml:space="preserve">Номер медицинской карты:
 ____________________________</w:t>
            </w:r>
          </w:p>
          <w:p>
            <w:pPr>
              <w:jc w:val="left"/>
            </w:pPr>
            <w:r>
              <w:rPr>
                <w:rFonts w:ascii="Arial" w:cs="Arial" w:eastAsia="Arial" w:hAnsi="Arial"/>
                <w:sz w:val="24"/>
                <w:szCs w:val="24"/>
              </w:rPr>
              <w:t xml:space="preserve">Пол: </w:t>
            </w:r>
            <w:r>
              <w:rPr>
                <w:rFonts w:ascii="Arial" w:cs="Arial" w:eastAsia="Arial" w:hAnsi="Arial"/>
                <w:sz w:val="24"/>
                <w:szCs w:val="24"/>
              </w:rPr>
              <w:t xml:space="preserve">c </w:t>
            </w:r>
            <w:r>
              <w:rPr>
                <w:rFonts w:ascii="Arial" w:cs="Arial" w:eastAsia="Arial" w:hAnsi="Arial"/>
                <w:sz w:val="24"/>
                <w:szCs w:val="24"/>
              </w:rPr>
              <w:t xml:space="preserve">М               </w:t>
            </w:r>
            <w:r>
              <w:rPr>
                <w:rFonts w:ascii="Arial" w:cs="Arial" w:eastAsia="Arial" w:hAnsi="Arial"/>
                <w:sz w:val="24"/>
                <w:szCs w:val="24"/>
              </w:rPr>
              <w:t xml:space="preserve">c </w:t>
            </w:r>
            <w:r>
              <w:rPr>
                <w:rFonts w:ascii="Arial" w:cs="Arial" w:eastAsia="Arial" w:hAnsi="Arial"/>
                <w:sz w:val="24"/>
                <w:szCs w:val="24"/>
              </w:rPr>
              <w:t xml:space="preserve">Ж</w:t>
            </w:r>
          </w:p>
          <w:p>
            <w:pPr>
              <w:jc w:val="left"/>
            </w:pPr>
            <w:r>
              <w:rPr>
                <w:rFonts w:ascii="Arial" w:cs="Arial" w:eastAsia="Arial" w:hAnsi="Arial"/>
                <w:sz w:val="24"/>
                <w:szCs w:val="24"/>
              </w:rPr>
              <w:t xml:space="preserve">Возраст: ____________</w:t>
            </w:r>
          </w:p>
          <w:p>
            <w:pPr>
              <w:jc w:val="left"/>
            </w:pPr>
            <w:r>
              <w:rPr>
                <w:rFonts w:ascii="Arial" w:cs="Arial" w:eastAsia="Arial" w:hAnsi="Arial"/>
                <w:sz w:val="24"/>
                <w:szCs w:val="24"/>
              </w:rPr>
              <w:t xml:space="preserve">Вес (кг): _____________</w:t>
            </w:r>
          </w:p>
          <w:p>
            <w:pPr>
              <w:jc w:val="left"/>
            </w:pPr>
            <w:r>
              <w:rPr>
                <w:rFonts w:ascii="Arial" w:cs="Arial" w:eastAsia="Arial" w:hAnsi="Arial"/>
                <w:sz w:val="24"/>
                <w:szCs w:val="24"/>
              </w:rPr>
              <w:t xml:space="preserve">Нарушение функции печени
 </w:t>
            </w:r>
            <w:r>
              <w:rPr>
                <w:rFonts w:ascii="Arial" w:cs="Arial" w:eastAsia="Arial" w:hAnsi="Arial"/>
                <w:sz w:val="24"/>
                <w:szCs w:val="24"/>
              </w:rPr>
              <w:t xml:space="preserve">c</w:t>
            </w:r>
            <w:r>
              <w:rPr>
                <w:rFonts w:ascii="Arial" w:cs="Arial" w:eastAsia="Arial" w:hAnsi="Arial"/>
                <w:sz w:val="24"/>
                <w:szCs w:val="24"/>
              </w:rPr>
              <w:t xml:space="preserve"> да     </w:t>
            </w:r>
            <w:r>
              <w:rPr>
                <w:rFonts w:ascii="Arial" w:cs="Arial" w:eastAsia="Arial" w:hAnsi="Arial"/>
                <w:sz w:val="24"/>
                <w:szCs w:val="24"/>
              </w:rPr>
              <w:t xml:space="preserve">c</w:t>
            </w:r>
            <w:r>
              <w:rPr>
                <w:rFonts w:ascii="Arial" w:cs="Arial" w:eastAsia="Arial" w:hAnsi="Arial"/>
                <w:sz w:val="24"/>
                <w:szCs w:val="24"/>
              </w:rPr>
              <w:t xml:space="preserve"> нет     </w:t>
            </w:r>
            <w:r>
              <w:rPr>
                <w:rFonts w:ascii="Arial" w:cs="Arial" w:eastAsia="Arial" w:hAnsi="Arial"/>
                <w:sz w:val="24"/>
                <w:szCs w:val="24"/>
              </w:rPr>
              <w:t xml:space="preserve">c</w:t>
            </w:r>
            <w:r>
              <w:rPr>
                <w:rFonts w:ascii="Arial" w:cs="Arial" w:eastAsia="Arial" w:hAnsi="Arial"/>
                <w:sz w:val="24"/>
                <w:szCs w:val="24"/>
              </w:rPr>
              <w:t xml:space="preserve"> неизвестно</w:t>
            </w:r>
          </w:p>
          <w:p>
            <w:pPr>
              <w:jc w:val="left"/>
            </w:pPr>
            <w:r>
              <w:rPr>
                <w:rFonts w:ascii="Arial" w:cs="Arial" w:eastAsia="Arial" w:hAnsi="Arial"/>
                <w:sz w:val="24"/>
                <w:szCs w:val="24"/>
              </w:rPr>
              <w:t xml:space="preserve">Нарушение функции почек
 </w:t>
            </w:r>
            <w:r>
              <w:rPr>
                <w:rFonts w:ascii="Arial" w:cs="Arial" w:eastAsia="Arial" w:hAnsi="Arial"/>
                <w:sz w:val="24"/>
                <w:szCs w:val="24"/>
              </w:rPr>
              <w:t xml:space="preserve">c</w:t>
            </w:r>
            <w:r>
              <w:rPr>
                <w:rFonts w:ascii="Arial" w:cs="Arial" w:eastAsia="Arial" w:hAnsi="Arial"/>
                <w:sz w:val="24"/>
                <w:szCs w:val="24"/>
              </w:rPr>
              <w:t xml:space="preserve"> да     </w:t>
            </w:r>
            <w:r>
              <w:rPr>
                <w:rFonts w:ascii="Arial" w:cs="Arial" w:eastAsia="Arial" w:hAnsi="Arial"/>
                <w:sz w:val="24"/>
                <w:szCs w:val="24"/>
              </w:rPr>
              <w:t xml:space="preserve">c</w:t>
            </w:r>
            <w:r>
              <w:rPr>
                <w:rFonts w:ascii="Arial" w:cs="Arial" w:eastAsia="Arial" w:hAnsi="Arial"/>
                <w:sz w:val="24"/>
                <w:szCs w:val="24"/>
              </w:rPr>
              <w:t xml:space="preserve"> нет     </w:t>
            </w:r>
            <w:r>
              <w:rPr>
                <w:rFonts w:ascii="Arial" w:cs="Arial" w:eastAsia="Arial" w:hAnsi="Arial"/>
                <w:sz w:val="24"/>
                <w:szCs w:val="24"/>
              </w:rPr>
              <w:t xml:space="preserve">c</w:t>
            </w:r>
            <w:r>
              <w:rPr>
                <w:rFonts w:ascii="Arial" w:cs="Arial" w:eastAsia="Arial" w:hAnsi="Arial"/>
                <w:sz w:val="24"/>
                <w:szCs w:val="24"/>
              </w:rPr>
              <w:t xml:space="preserve"> неизвестно</w:t>
            </w:r>
          </w:p>
          <w:p>
            <w:pPr>
              <w:jc w:val="left"/>
            </w:pPr>
            <w:r>
              <w:rPr>
                <w:rFonts w:ascii="Arial" w:cs="Arial" w:eastAsia="Arial" w:hAnsi="Arial"/>
                <w:sz w:val="24"/>
                <w:szCs w:val="24"/>
              </w:rPr>
              <w:t xml:space="preserve">Аллергия (указать на что):</w:t>
            </w:r>
          </w:p>
        </w:tc>
      </w:tr>
      <w:tr>
        <w:tc>
          <w:tcPr>
            <w:tcW w:type="dxa" w:w="651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Лечение:                                </w:t>
            </w:r>
            <w:r>
              <w:rPr>
                <w:rFonts w:ascii="Arial" w:cs="Arial" w:eastAsia="Arial" w:hAnsi="Arial"/>
                <w:sz w:val="24"/>
                <w:szCs w:val="24"/>
              </w:rPr>
              <w:t xml:space="preserve">c</w:t>
            </w:r>
            <w:r>
              <w:rPr>
                <w:rFonts w:ascii="Arial" w:cs="Arial" w:eastAsia="Arial" w:hAnsi="Arial"/>
                <w:sz w:val="24"/>
                <w:szCs w:val="24"/>
              </w:rPr>
              <w:t xml:space="preserve"> амбулаторное</w:t>
            </w:r>
          </w:p>
          <w:p>
            <w:pPr>
              <w:jc w:val="left"/>
            </w:pPr>
            <w:r>
              <w:rPr>
                <w:rFonts w:ascii="Arial" w:cs="Arial" w:eastAsia="Arial" w:hAnsi="Arial"/>
                <w:sz w:val="24"/>
                <w:szCs w:val="24"/>
              </w:rPr>
              <w:t xml:space="preserve">c</w:t>
            </w:r>
            <w:r>
              <w:rPr>
                <w:rFonts w:ascii="Arial" w:cs="Arial" w:eastAsia="Arial" w:hAnsi="Arial"/>
                <w:sz w:val="24"/>
                <w:szCs w:val="24"/>
              </w:rPr>
              <w:t xml:space="preserve"> стационарное                   </w:t>
            </w:r>
            <w:r>
              <w:rPr>
                <w:rFonts w:ascii="Arial" w:cs="Arial" w:eastAsia="Arial" w:hAnsi="Arial"/>
                <w:sz w:val="24"/>
                <w:szCs w:val="24"/>
              </w:rPr>
              <w:t xml:space="preserve">c</w:t>
            </w:r>
            <w:r>
              <w:rPr>
                <w:rFonts w:ascii="Arial" w:cs="Arial" w:eastAsia="Arial" w:hAnsi="Arial"/>
                <w:sz w:val="24"/>
                <w:szCs w:val="24"/>
              </w:rPr>
              <w:t xml:space="preserve"> самолечение</w:t>
            </w:r>
          </w:p>
          <w:p>
            <w:pPr>
              <w:jc w:val="left"/>
            </w:pPr>
            <w:r>
              <w:rPr>
                <w:rFonts w:ascii="Arial" w:cs="Arial" w:eastAsia="Arial" w:hAnsi="Arial"/>
                <w:sz w:val="24"/>
                <w:szCs w:val="24"/>
              </w:rPr>
              <w:t xml:space="preserve">Сообщение:                          </w:t>
            </w:r>
            <w:r>
              <w:rPr>
                <w:rFonts w:ascii="Arial" w:cs="Arial" w:eastAsia="Arial" w:hAnsi="Arial"/>
                <w:sz w:val="24"/>
                <w:szCs w:val="24"/>
              </w:rPr>
              <w:t xml:space="preserve">c</w:t>
            </w:r>
            <w:r>
              <w:rPr>
                <w:rFonts w:ascii="Arial" w:cs="Arial" w:eastAsia="Arial" w:hAnsi="Arial"/>
                <w:sz w:val="24"/>
                <w:szCs w:val="24"/>
              </w:rPr>
              <w:t xml:space="preserve"> первичное</w:t>
            </w:r>
          </w:p>
          <w:p>
            <w:pPr>
              <w:jc w:val="left"/>
            </w:pPr>
            <w:r>
              <w:rPr>
                <w:rFonts w:ascii="Arial" w:cs="Arial" w:eastAsia="Arial" w:hAnsi="Arial"/>
                <w:sz w:val="24"/>
                <w:szCs w:val="24"/>
              </w:rPr>
              <w:t xml:space="preserve">c</w:t>
            </w:r>
            <w:r>
              <w:rPr>
                <w:rFonts w:ascii="Arial" w:cs="Arial" w:eastAsia="Arial" w:hAnsi="Arial"/>
                <w:sz w:val="24"/>
                <w:szCs w:val="24"/>
              </w:rPr>
              <w:t xml:space="preserve"> повторное</w:t>
            </w:r>
          </w:p>
          <w:p>
            <w:pPr>
              <w:jc w:val="left"/>
            </w:pPr>
            <w:r>
              <w:rPr>
                <w:rFonts w:ascii="Arial" w:cs="Arial" w:eastAsia="Arial" w:hAnsi="Arial"/>
                <w:sz w:val="24"/>
                <w:szCs w:val="24"/>
              </w:rPr>
              <w:t xml:space="preserve">                                              (дата первичного приема)</w:t>
            </w:r>
          </w:p>
        </w:tc>
        <w:tc>
          <w:tcPr>
            <w:gridSpan w:val="3"/>
            <w:vMerge w:val="continue"/>
            <w:tcBorders>
              <w:top w:val="single" w:color="CBBF9E" w:sz="4"/>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ПОДОЗРЕВАЕМОЕ ЛЕКАРСТВЕННОЕ СРЕДСТВО</w:t>
            </w:r>
          </w:p>
        </w:tc>
      </w:tr>
      <w:tr>
        <w:tc>
          <w:tcPr>
            <w:tcW w:type="dxa" w:w="3256"/>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Международное непатентованное название</w:t>
            </w:r>
          </w:p>
        </w:tc>
        <w:tc>
          <w:tcPr>
            <w:tcW w:type="dxa" w:w="32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Торговое название</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Производитель</w:t>
            </w:r>
          </w:p>
        </w:tc>
        <w:tc>
          <w:tcPr>
            <w:tcW w:type="dxa" w:w="488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 серии</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Показание к применению</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Путь введения</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Разовая доза</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Кратность введения</w:t>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начала терапии</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окончания терапии</w:t>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ДРУГИЕ ОДНОВРЕМЕННО ПРИНИМАЕМЫЕ ЛЕКАРСТВЕННЫЕ СРЕДСТВА
 (Укажите "НЕТ", если других лекарственных средств пациент не принимал)</w:t>
            </w:r>
          </w:p>
        </w:tc>
      </w:tr>
      <w:tr>
        <w:tc>
          <w:tcPr>
            <w:tcW w:type="dxa" w:w="16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Международное непатентованное название или торговое название лекарственного средства</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Показание к применению</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Путь введения</w:t>
            </w:r>
          </w:p>
        </w:tc>
        <w:tc>
          <w:tcPr>
            <w:tcW w:type="dxa" w:w="1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Разовая доза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Кратность</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начала терапии</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окончания терапии</w:t>
            </w:r>
          </w:p>
        </w:tc>
      </w:tr>
      <w:tr>
        <w:tc>
          <w:tcPr>
            <w:tcW w:type="dxa" w:w="1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r>
      <w:tr>
        <w:tc>
          <w:tcPr>
            <w:tcW w:type="dxa" w:w="1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r>
      <w:tr>
        <w:tc>
          <w:tcPr>
            <w:tcW w:type="dxa" w:w="1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r>
      <w:tr>
        <w:tc>
          <w:tcPr>
            <w:tcW w:type="dxa" w:w="16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t>
            </w:r>
          </w:p>
        </w:tc>
      </w:tr>
      <w:tr>
        <w:tc>
          <w:tcPr>
            <w:tcW w:type="dxa" w:w="7734"/>
            <w:gridSpan w:val="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нежелательной реакции:</w:t>
            </w:r>
          </w:p>
        </w:tc>
        <w:tc>
          <w:tcPr>
            <w:tcW w:type="dxa" w:w="244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Дата начала:
 ___ / ___ / __________</w:t>
            </w:r>
          </w:p>
        </w:tc>
      </w:tr>
      <w:tr>
        <w:tc>
          <w:tcPr>
            <w:gridSpan w:val="5"/>
            <w:vMerge w:val="continue"/>
            <w:tcBorders>
              <w:top w:val="none" w:color="auto" w:sz="0"/>
              <w:left w:val="single" w:color="CBBF9E" w:sz="4"/>
              <w:bottom w:val="single" w:color="CBBF9E" w:sz="4"/>
              <w:right w:val="single" w:color="CBBF9E" w:sz="4"/>
            </w:tcBorders>
          </w:tcPr>
          <w:p/>
        </w:tc>
        <w:tc>
          <w:tcPr>
            <w:tcW w:type="dxa" w:w="24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окончания:
 ___ / ___ / __________</w:t>
            </w:r>
          </w:p>
        </w:tc>
      </w:tr>
      <w:tr>
        <w:tc>
          <w:tcPr>
            <w:tcW w:type="dxa" w:w="651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прекращения приема подозреваемого лекарственного средства:</w:t>
            </w:r>
          </w:p>
          <w:p>
            <w:pPr>
              <w:jc w:val="left"/>
            </w:pPr>
            <w:r>
              <w:rPr>
                <w:rFonts w:ascii="Arial" w:cs="Arial" w:eastAsia="Arial" w:hAnsi="Arial"/>
                <w:sz w:val="24"/>
                <w:szCs w:val="24"/>
              </w:rPr>
              <w:t xml:space="preserve">c</w:t>
            </w:r>
            <w:r>
              <w:rPr>
                <w:rFonts w:ascii="Arial" w:cs="Arial" w:eastAsia="Arial" w:hAnsi="Arial"/>
                <w:sz w:val="24"/>
                <w:szCs w:val="24"/>
              </w:rPr>
              <w:t xml:space="preserve"> явное улучшение</w:t>
            </w:r>
          </w:p>
          <w:p>
            <w:pPr>
              <w:jc w:val="left"/>
            </w:pPr>
            <w:r>
              <w:rPr>
                <w:rFonts w:ascii="Arial" w:cs="Arial" w:eastAsia="Arial" w:hAnsi="Arial"/>
                <w:sz w:val="24"/>
                <w:szCs w:val="24"/>
              </w:rPr>
              <w:t xml:space="preserve">c</w:t>
            </w:r>
            <w:r>
              <w:rPr>
                <w:rFonts w:ascii="Arial" w:cs="Arial" w:eastAsia="Arial" w:hAnsi="Arial"/>
                <w:sz w:val="24"/>
                <w:szCs w:val="24"/>
              </w:rPr>
              <w:t xml:space="preserve"> нет улучшения</w:t>
            </w:r>
          </w:p>
          <w:p>
            <w:pPr>
              <w:jc w:val="left"/>
            </w:pPr>
            <w:r>
              <w:rPr>
                <w:rFonts w:ascii="Arial" w:cs="Arial" w:eastAsia="Arial" w:hAnsi="Arial"/>
                <w:sz w:val="24"/>
                <w:szCs w:val="24"/>
              </w:rPr>
              <w:t xml:space="preserve">c</w:t>
            </w:r>
            <w:r>
              <w:rPr>
                <w:rFonts w:ascii="Arial" w:cs="Arial" w:eastAsia="Arial" w:hAnsi="Arial"/>
                <w:sz w:val="24"/>
                <w:szCs w:val="24"/>
              </w:rPr>
              <w:t xml:space="preserve"> не отменялось</w:t>
            </w:r>
          </w:p>
          <w:p>
            <w:pPr>
              <w:jc w:val="left"/>
            </w:pPr>
            <w:r>
              <w:rPr>
                <w:rFonts w:ascii="Arial" w:cs="Arial" w:eastAsia="Arial" w:hAnsi="Arial"/>
                <w:sz w:val="24"/>
                <w:szCs w:val="24"/>
              </w:rPr>
              <w:t xml:space="preserve">c</w:t>
            </w:r>
            <w:r>
              <w:rPr>
                <w:rFonts w:ascii="Arial" w:cs="Arial" w:eastAsia="Arial" w:hAnsi="Arial"/>
                <w:sz w:val="24"/>
                <w:szCs w:val="24"/>
              </w:rPr>
              <w:t xml:space="preserve"> неизвестно</w:t>
            </w:r>
          </w:p>
          <w:p>
            <w:pPr>
              <w:jc w:val="left"/>
            </w:pPr>
            <w:r>
              <w:rPr>
                <w:rFonts w:ascii="Arial" w:cs="Arial" w:eastAsia="Arial" w:hAnsi="Arial"/>
                <w:sz w:val="24"/>
                <w:szCs w:val="24"/>
              </w:rPr>
              <w:t xml:space="preserve">c</w:t>
            </w:r>
            <w:r>
              <w:rPr>
                <w:rFonts w:ascii="Arial" w:cs="Arial" w:eastAsia="Arial" w:hAnsi="Arial"/>
                <w:sz w:val="24"/>
                <w:szCs w:val="24"/>
              </w:rPr>
              <w:t xml:space="preserve"> неприменимо</w:t>
            </w:r>
          </w:p>
        </w:tc>
        <w:tc>
          <w:tcPr>
            <w:tcW w:type="dxa" w:w="36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Сопутствующие заболевания, иные состояния или факторы риска:</w:t>
            </w:r>
          </w:p>
        </w:tc>
      </w:tr>
      <w:tr>
        <w:tc>
          <w:tcPr>
            <w:tcW w:type="dxa" w:w="651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причинно-следственной связи:</w:t>
            </w:r>
          </w:p>
          <w:p>
            <w:pPr>
              <w:jc w:val="left"/>
            </w:pPr>
            <w:r>
              <w:rPr>
                <w:rFonts w:ascii="Arial" w:cs="Arial" w:eastAsia="Arial" w:hAnsi="Arial"/>
                <w:sz w:val="24"/>
                <w:szCs w:val="24"/>
              </w:rPr>
              <w:t xml:space="preserve">c</w:t>
            </w:r>
            <w:r>
              <w:rPr>
                <w:rFonts w:ascii="Arial" w:cs="Arial" w:eastAsia="Arial" w:hAnsi="Arial"/>
                <w:sz w:val="24"/>
                <w:szCs w:val="24"/>
              </w:rPr>
              <w:t xml:space="preserve"> достоверная</w:t>
            </w:r>
          </w:p>
          <w:p>
            <w:pPr>
              <w:jc w:val="left"/>
            </w:pPr>
            <w:r>
              <w:rPr>
                <w:rFonts w:ascii="Arial" w:cs="Arial" w:eastAsia="Arial" w:hAnsi="Arial"/>
                <w:sz w:val="24"/>
                <w:szCs w:val="24"/>
              </w:rPr>
              <w:t xml:space="preserve">c</w:t>
            </w:r>
            <w:r>
              <w:rPr>
                <w:rFonts w:ascii="Arial" w:cs="Arial" w:eastAsia="Arial" w:hAnsi="Arial"/>
                <w:sz w:val="24"/>
                <w:szCs w:val="24"/>
              </w:rPr>
              <w:t xml:space="preserve"> вероятная</w:t>
            </w:r>
          </w:p>
          <w:p>
            <w:pPr>
              <w:jc w:val="left"/>
            </w:pPr>
            <w:r>
              <w:rPr>
                <w:rFonts w:ascii="Arial" w:cs="Arial" w:eastAsia="Arial" w:hAnsi="Arial"/>
                <w:sz w:val="24"/>
                <w:szCs w:val="24"/>
              </w:rPr>
              <w:t xml:space="preserve">c</w:t>
            </w:r>
            <w:r>
              <w:rPr>
                <w:rFonts w:ascii="Arial" w:cs="Arial" w:eastAsia="Arial" w:hAnsi="Arial"/>
                <w:sz w:val="24"/>
                <w:szCs w:val="24"/>
              </w:rPr>
              <w:t xml:space="preserve"> возможная</w:t>
            </w:r>
          </w:p>
          <w:p>
            <w:pPr>
              <w:jc w:val="left"/>
            </w:pPr>
            <w:r>
              <w:rPr>
                <w:rFonts w:ascii="Arial" w:cs="Arial" w:eastAsia="Arial" w:hAnsi="Arial"/>
                <w:sz w:val="24"/>
                <w:szCs w:val="24"/>
              </w:rPr>
              <w:t xml:space="preserve">c</w:t>
            </w:r>
            <w:r>
              <w:rPr>
                <w:rFonts w:ascii="Arial" w:cs="Arial" w:eastAsia="Arial" w:hAnsi="Arial"/>
                <w:sz w:val="24"/>
                <w:szCs w:val="24"/>
              </w:rPr>
              <w:t xml:space="preserve"> сомнительная</w:t>
            </w:r>
          </w:p>
          <w:p>
            <w:pPr>
              <w:jc w:val="left"/>
            </w:pPr>
            <w:r>
              <w:rPr>
                <w:rFonts w:ascii="Arial" w:cs="Arial" w:eastAsia="Arial" w:hAnsi="Arial"/>
                <w:sz w:val="24"/>
                <w:szCs w:val="24"/>
              </w:rPr>
              <w:t xml:space="preserve">c</w:t>
            </w:r>
            <w:r>
              <w:rPr>
                <w:rFonts w:ascii="Arial" w:cs="Arial" w:eastAsia="Arial" w:hAnsi="Arial"/>
                <w:sz w:val="24"/>
                <w:szCs w:val="24"/>
              </w:rPr>
              <w:t xml:space="preserve"> условная</w:t>
            </w:r>
          </w:p>
          <w:p>
            <w:pPr>
              <w:jc w:val="left"/>
            </w:pPr>
            <w:r>
              <w:rPr>
                <w:rFonts w:ascii="Arial" w:cs="Arial" w:eastAsia="Arial" w:hAnsi="Arial"/>
                <w:sz w:val="24"/>
                <w:szCs w:val="24"/>
              </w:rPr>
              <w:t xml:space="preserve">c</w:t>
            </w:r>
            <w:r>
              <w:rPr>
                <w:rFonts w:ascii="Arial" w:cs="Arial" w:eastAsia="Arial" w:hAnsi="Arial"/>
                <w:sz w:val="24"/>
                <w:szCs w:val="24"/>
              </w:rPr>
              <w:t xml:space="preserve"> вне классификации</w:t>
            </w:r>
          </w:p>
        </w:tc>
        <w:tc>
          <w:tcPr>
            <w:tcW w:type="dxa" w:w="36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w:t>
            </w:r>
          </w:p>
          <w:p>
            <w:pPr>
              <w:jc w:val="left"/>
            </w:pPr>
            <w:r>
              <w:rPr>
                <w:rFonts w:ascii="Arial" w:cs="Arial" w:eastAsia="Arial" w:hAnsi="Arial"/>
                <w:sz w:val="24"/>
                <w:szCs w:val="24"/>
              </w:rPr>
              <w:t xml:space="preserve">c</w:t>
            </w:r>
            <w:r>
              <w:rPr>
                <w:rFonts w:ascii="Arial" w:cs="Arial" w:eastAsia="Arial" w:hAnsi="Arial"/>
                <w:sz w:val="24"/>
                <w:szCs w:val="24"/>
              </w:rPr>
              <w:t xml:space="preserve"> выздоровление без последствий</w:t>
            </w:r>
          </w:p>
          <w:p>
            <w:pPr>
              <w:jc w:val="left"/>
            </w:pPr>
            <w:r>
              <w:rPr>
                <w:rFonts w:ascii="Arial" w:cs="Arial" w:eastAsia="Arial" w:hAnsi="Arial"/>
                <w:sz w:val="24"/>
                <w:szCs w:val="24"/>
              </w:rPr>
              <w:t xml:space="preserve">c</w:t>
            </w:r>
            <w:r>
              <w:rPr>
                <w:rFonts w:ascii="Arial" w:cs="Arial" w:eastAsia="Arial" w:hAnsi="Arial"/>
                <w:sz w:val="24"/>
                <w:szCs w:val="24"/>
              </w:rPr>
              <w:t xml:space="preserve"> улучшение состояния</w:t>
            </w:r>
          </w:p>
          <w:p>
            <w:pPr>
              <w:jc w:val="left"/>
            </w:pPr>
            <w:r>
              <w:rPr>
                <w:rFonts w:ascii="Arial" w:cs="Arial" w:eastAsia="Arial" w:hAnsi="Arial"/>
                <w:sz w:val="24"/>
                <w:szCs w:val="24"/>
              </w:rPr>
              <w:t xml:space="preserve">c</w:t>
            </w:r>
            <w:r>
              <w:rPr>
                <w:rFonts w:ascii="Arial" w:cs="Arial" w:eastAsia="Arial" w:hAnsi="Arial"/>
                <w:sz w:val="24"/>
                <w:szCs w:val="24"/>
              </w:rPr>
              <w:t xml:space="preserve"> выздоровление с последствиями (указать)
 _____________________________</w:t>
            </w:r>
          </w:p>
          <w:p>
            <w:pPr>
              <w:jc w:val="left"/>
            </w:pPr>
            <w:r>
              <w:rPr>
                <w:rFonts w:ascii="Arial" w:cs="Arial" w:eastAsia="Arial" w:hAnsi="Arial"/>
                <w:sz w:val="24"/>
                <w:szCs w:val="24"/>
              </w:rPr>
              <w:t xml:space="preserve">c</w:t>
            </w:r>
            <w:r>
              <w:rPr>
                <w:rFonts w:ascii="Arial" w:cs="Arial" w:eastAsia="Arial" w:hAnsi="Arial"/>
                <w:sz w:val="24"/>
                <w:szCs w:val="24"/>
              </w:rPr>
              <w:t xml:space="preserve"> состояние без изменений (еще не выздоровел)</w:t>
            </w:r>
          </w:p>
          <w:p>
            <w:pPr>
              <w:jc w:val="left"/>
            </w:pPr>
            <w:r>
              <w:rPr>
                <w:rFonts w:ascii="Arial" w:cs="Arial" w:eastAsia="Arial" w:hAnsi="Arial"/>
                <w:sz w:val="24"/>
                <w:szCs w:val="24"/>
              </w:rPr>
              <w:t xml:space="preserve">c</w:t>
            </w:r>
            <w:r>
              <w:rPr>
                <w:rFonts w:ascii="Arial" w:cs="Arial" w:eastAsia="Arial" w:hAnsi="Arial"/>
                <w:sz w:val="24"/>
                <w:szCs w:val="24"/>
              </w:rPr>
              <w:t xml:space="preserve"> смерть, возможно, связана с нежелательной реакцией</w:t>
            </w:r>
          </w:p>
          <w:p>
            <w:pPr>
              <w:jc w:val="left"/>
            </w:pPr>
            <w:r>
              <w:rPr>
                <w:rFonts w:ascii="Arial" w:cs="Arial" w:eastAsia="Arial" w:hAnsi="Arial"/>
                <w:sz w:val="24"/>
                <w:szCs w:val="24"/>
              </w:rPr>
              <w:t xml:space="preserve">c</w:t>
            </w:r>
            <w:r>
              <w:rPr>
                <w:rFonts w:ascii="Arial" w:cs="Arial" w:eastAsia="Arial" w:hAnsi="Arial"/>
                <w:sz w:val="24"/>
                <w:szCs w:val="24"/>
              </w:rPr>
              <w:t xml:space="preserve"> смерть не связана с серьезной нежелательной реакцией</w:t>
            </w:r>
          </w:p>
          <w:p>
            <w:pPr>
              <w:jc w:val="left"/>
            </w:pPr>
            <w:r>
              <w:rPr>
                <w:rFonts w:ascii="Arial" w:cs="Arial" w:eastAsia="Arial" w:hAnsi="Arial"/>
                <w:sz w:val="24"/>
                <w:szCs w:val="24"/>
              </w:rPr>
              <w:t xml:space="preserve">c</w:t>
            </w:r>
            <w:r>
              <w:rPr>
                <w:rFonts w:ascii="Arial" w:cs="Arial" w:eastAsia="Arial" w:hAnsi="Arial"/>
                <w:sz w:val="24"/>
                <w:szCs w:val="24"/>
              </w:rPr>
              <w:t xml:space="preserve"> исход неизвестен</w:t>
            </w:r>
          </w:p>
        </w:tc>
      </w:tr>
      <w:tr>
        <w:tc>
          <w:tcPr>
            <w:tcW w:type="dxa" w:w="651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Предпринятые меры:</w:t>
            </w:r>
          </w:p>
          <w:p>
            <w:pPr>
              <w:jc w:val="left"/>
            </w:pPr>
            <w:r>
              <w:rPr>
                <w:rFonts w:ascii="Arial" w:cs="Arial" w:eastAsia="Arial" w:hAnsi="Arial"/>
                <w:sz w:val="24"/>
                <w:szCs w:val="24"/>
              </w:rPr>
              <w:t xml:space="preserve">c</w:t>
            </w:r>
            <w:r>
              <w:rPr>
                <w:rFonts w:ascii="Arial" w:cs="Arial" w:eastAsia="Arial" w:hAnsi="Arial"/>
                <w:sz w:val="24"/>
                <w:szCs w:val="24"/>
              </w:rPr>
              <w:t xml:space="preserve"> без лечения</w:t>
            </w:r>
          </w:p>
          <w:p>
            <w:pPr>
              <w:jc w:val="left"/>
            </w:pPr>
            <w:r>
              <w:rPr>
                <w:rFonts w:ascii="Arial" w:cs="Arial" w:eastAsia="Arial" w:hAnsi="Arial"/>
                <w:sz w:val="24"/>
                <w:szCs w:val="24"/>
              </w:rPr>
              <w:t xml:space="preserve">c</w:t>
            </w:r>
            <w:r>
              <w:rPr>
                <w:rFonts w:ascii="Arial" w:cs="Arial" w:eastAsia="Arial" w:hAnsi="Arial"/>
                <w:sz w:val="24"/>
                <w:szCs w:val="24"/>
              </w:rPr>
              <w:t xml:space="preserve"> отмена подозреваемого лекарственного средства</w:t>
            </w:r>
          </w:p>
          <w:p>
            <w:pPr>
              <w:jc w:val="left"/>
            </w:pPr>
            <w:r>
              <w:rPr>
                <w:rFonts w:ascii="Arial" w:cs="Arial" w:eastAsia="Arial" w:hAnsi="Arial"/>
                <w:sz w:val="24"/>
                <w:szCs w:val="24"/>
              </w:rPr>
              <w:t xml:space="preserve">c</w:t>
            </w:r>
            <w:r>
              <w:rPr>
                <w:rFonts w:ascii="Arial" w:cs="Arial" w:eastAsia="Arial" w:hAnsi="Arial"/>
                <w:sz w:val="24"/>
                <w:szCs w:val="24"/>
              </w:rPr>
              <w:t xml:space="preserve"> снижение дозы подозреваемого лекарственного средства</w:t>
            </w:r>
          </w:p>
          <w:p>
            <w:pPr>
              <w:jc w:val="left"/>
            </w:pPr>
            <w:r>
              <w:rPr>
                <w:rFonts w:ascii="Arial" w:cs="Arial" w:eastAsia="Arial" w:hAnsi="Arial"/>
                <w:sz w:val="24"/>
                <w:szCs w:val="24"/>
              </w:rPr>
              <w:t xml:space="preserve">c</w:t>
            </w:r>
            <w:r>
              <w:rPr>
                <w:rFonts w:ascii="Arial" w:cs="Arial" w:eastAsia="Arial" w:hAnsi="Arial"/>
                <w:sz w:val="24"/>
                <w:szCs w:val="24"/>
              </w:rPr>
              <w:t xml:space="preserve"> отмена сопутствующего лечения</w:t>
            </w:r>
          </w:p>
          <w:p>
            <w:pPr>
              <w:jc w:val="left"/>
            </w:pPr>
            <w:r>
              <w:rPr>
                <w:rFonts w:ascii="Arial" w:cs="Arial" w:eastAsia="Arial" w:hAnsi="Arial"/>
                <w:sz w:val="24"/>
                <w:szCs w:val="24"/>
              </w:rPr>
              <w:t xml:space="preserve">c</w:t>
            </w:r>
            <w:r>
              <w:rPr>
                <w:rFonts w:ascii="Arial" w:cs="Arial" w:eastAsia="Arial" w:hAnsi="Arial"/>
                <w:sz w:val="24"/>
                <w:szCs w:val="24"/>
              </w:rPr>
              <w:t xml:space="preserve"> применение медикаментозной терапии</w:t>
            </w:r>
          </w:p>
          <w:p>
            <w:pPr>
              <w:jc w:val="left"/>
            </w:pPr>
            <w:r>
              <w:rPr>
                <w:rFonts w:ascii="Arial" w:cs="Arial" w:eastAsia="Arial" w:hAnsi="Arial"/>
                <w:sz w:val="24"/>
                <w:szCs w:val="24"/>
              </w:rPr>
              <w:t xml:space="preserve">c</w:t>
            </w:r>
            <w:r>
              <w:rPr>
                <w:rFonts w:ascii="Arial" w:cs="Arial" w:eastAsia="Arial" w:hAnsi="Arial"/>
                <w:sz w:val="24"/>
                <w:szCs w:val="24"/>
              </w:rPr>
              <w:t xml:space="preserve"> не медикаментозная терапия (в том числе хирургическое вмешательство)</w:t>
            </w:r>
          </w:p>
          <w:p>
            <w:pPr>
              <w:jc w:val="left"/>
            </w:pPr>
            <w:r>
              <w:rPr>
                <w:rFonts w:ascii="Arial" w:cs="Arial" w:eastAsia="Arial" w:hAnsi="Arial"/>
                <w:sz w:val="24"/>
                <w:szCs w:val="24"/>
              </w:rPr>
              <w:t xml:space="preserve">c</w:t>
            </w:r>
            <w:r>
              <w:rPr>
                <w:rFonts w:ascii="Arial" w:cs="Arial" w:eastAsia="Arial" w:hAnsi="Arial"/>
                <w:sz w:val="24"/>
                <w:szCs w:val="24"/>
              </w:rPr>
              <w:t xml:space="preserve"> другое, указать
 ________________________________________________
 ________________________________________________
 ________________________________________________</w:t>
            </w:r>
          </w:p>
        </w:tc>
        <w:tc>
          <w:tcPr>
            <w:tcW w:type="dxa" w:w="36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Лекарственные средства, применяемые для купирования нежелательной реакции (если потребовалась)</w:t>
            </w:r>
          </w:p>
        </w:tc>
      </w:tr>
      <w:tr>
        <w:tc>
          <w:tcPr>
            <w:tcW w:type="dxa" w:w="6512"/>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Критерий отнесения к серьезным нежелательным реакциям (отметьте, если это подходит):</w:t>
            </w:r>
          </w:p>
          <w:p>
            <w:pPr>
              <w:jc w:val="left"/>
            </w:pPr>
            <w:r>
              <w:rPr>
                <w:rFonts w:ascii="Arial" w:cs="Arial" w:eastAsia="Arial" w:hAnsi="Arial"/>
                <w:sz w:val="24"/>
                <w:szCs w:val="24"/>
              </w:rPr>
              <w:t xml:space="preserve">c</w:t>
            </w:r>
            <w:r>
              <w:rPr>
                <w:rFonts w:ascii="Arial" w:cs="Arial" w:eastAsia="Arial" w:hAnsi="Arial"/>
                <w:sz w:val="24"/>
                <w:szCs w:val="24"/>
              </w:rPr>
              <w:t xml:space="preserve"> смерть</w:t>
            </w:r>
          </w:p>
          <w:p>
            <w:pPr>
              <w:jc w:val="left"/>
            </w:pPr>
            <w:r>
              <w:rPr>
                <w:rFonts w:ascii="Arial" w:cs="Arial" w:eastAsia="Arial" w:hAnsi="Arial"/>
                <w:sz w:val="24"/>
                <w:szCs w:val="24"/>
              </w:rPr>
              <w:t xml:space="preserve">c</w:t>
            </w:r>
            <w:r>
              <w:rPr>
                <w:rFonts w:ascii="Arial" w:cs="Arial" w:eastAsia="Arial" w:hAnsi="Arial"/>
                <w:sz w:val="24"/>
                <w:szCs w:val="24"/>
              </w:rPr>
              <w:t xml:space="preserve"> угроза жизни</w:t>
            </w:r>
          </w:p>
          <w:p>
            <w:pPr>
              <w:jc w:val="left"/>
            </w:pPr>
            <w:r>
              <w:rPr>
                <w:rFonts w:ascii="Arial" w:cs="Arial" w:eastAsia="Arial" w:hAnsi="Arial"/>
                <w:sz w:val="24"/>
                <w:szCs w:val="24"/>
              </w:rPr>
              <w:t xml:space="preserve">c</w:t>
            </w:r>
            <w:r>
              <w:rPr>
                <w:rFonts w:ascii="Arial" w:cs="Arial" w:eastAsia="Arial" w:hAnsi="Arial"/>
                <w:sz w:val="24"/>
                <w:szCs w:val="24"/>
              </w:rPr>
              <w:t xml:space="preserve"> госпитализация или ее продление</w:t>
            </w:r>
          </w:p>
          <w:p>
            <w:pPr>
              <w:jc w:val="left"/>
            </w:pPr>
            <w:r>
              <w:rPr>
                <w:rFonts w:ascii="Arial" w:cs="Arial" w:eastAsia="Arial" w:hAnsi="Arial"/>
                <w:sz w:val="24"/>
                <w:szCs w:val="24"/>
              </w:rPr>
              <w:t xml:space="preserve">c</w:t>
            </w:r>
            <w:r>
              <w:rPr>
                <w:rFonts w:ascii="Arial" w:cs="Arial" w:eastAsia="Arial" w:hAnsi="Arial"/>
                <w:sz w:val="24"/>
                <w:szCs w:val="24"/>
              </w:rPr>
              <w:t xml:space="preserve"> врожденные аномалии</w:t>
            </w:r>
          </w:p>
          <w:p>
            <w:pPr>
              <w:jc w:val="left"/>
            </w:pPr>
            <w:r>
              <w:rPr>
                <w:rFonts w:ascii="Arial" w:cs="Arial" w:eastAsia="Arial" w:hAnsi="Arial"/>
                <w:sz w:val="24"/>
                <w:szCs w:val="24"/>
              </w:rPr>
              <w:t xml:space="preserve">c</w:t>
            </w:r>
            <w:r>
              <w:rPr>
                <w:rFonts w:ascii="Arial" w:cs="Arial" w:eastAsia="Arial" w:hAnsi="Arial"/>
                <w:sz w:val="24"/>
                <w:szCs w:val="24"/>
              </w:rPr>
              <w:t xml:space="preserve"> инвалидность/нетрудоспособность</w:t>
            </w:r>
          </w:p>
          <w:p>
            <w:pPr>
              <w:jc w:val="left"/>
            </w:pPr>
            <w:r>
              <w:rPr>
                <w:rFonts w:ascii="Arial" w:cs="Arial" w:eastAsia="Arial" w:hAnsi="Arial"/>
                <w:sz w:val="24"/>
                <w:szCs w:val="24"/>
              </w:rPr>
              <w:t xml:space="preserve">c</w:t>
            </w:r>
            <w:r>
              <w:rPr>
                <w:rFonts w:ascii="Arial" w:cs="Arial" w:eastAsia="Arial" w:hAnsi="Arial"/>
                <w:sz w:val="24"/>
                <w:szCs w:val="24"/>
              </w:rPr>
              <w:t xml:space="preserve"> необходимость медицинского вмешательства для предотвращения вышеперечисленных состояний</w:t>
            </w:r>
          </w:p>
          <w:p>
            <w:pPr>
              <w:jc w:val="left"/>
            </w:pPr>
            <w:r>
              <w:rPr>
                <w:rFonts w:ascii="Arial" w:cs="Arial" w:eastAsia="Arial" w:hAnsi="Arial"/>
                <w:sz w:val="24"/>
                <w:szCs w:val="24"/>
              </w:rPr>
              <w:t xml:space="preserve">c</w:t>
            </w:r>
            <w:r>
              <w:rPr>
                <w:rFonts w:ascii="Arial" w:cs="Arial" w:eastAsia="Arial" w:hAnsi="Arial"/>
                <w:sz w:val="24"/>
                <w:szCs w:val="24"/>
              </w:rPr>
              <w:t xml:space="preserve"> неприменимо</w:t>
            </w:r>
          </w:p>
        </w:tc>
        <w:tc>
          <w:tcPr>
            <w:tcW w:type="dxa" w:w="366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Отмечено ли повторение нежелательной реакции после повторного назначения лекарственного средства:</w:t>
            </w:r>
          </w:p>
          <w:p>
            <w:pPr>
              <w:jc w:val="left"/>
            </w:pPr>
            <w:r>
              <w:rPr>
                <w:rFonts w:ascii="Arial" w:cs="Arial" w:eastAsia="Arial" w:hAnsi="Arial"/>
                <w:sz w:val="24"/>
                <w:szCs w:val="24"/>
              </w:rPr>
              <w:t xml:space="preserve">c</w:t>
            </w:r>
            <w:r>
              <w:rPr>
                <w:rFonts w:ascii="Arial" w:cs="Arial" w:eastAsia="Arial" w:hAnsi="Arial"/>
                <w:sz w:val="24"/>
                <w:szCs w:val="24"/>
              </w:rPr>
              <w:t xml:space="preserve"> возобновление серьезной нежелательной реакции</w:t>
            </w:r>
          </w:p>
          <w:p>
            <w:pPr>
              <w:jc w:val="left"/>
            </w:pPr>
            <w:r>
              <w:rPr>
                <w:rFonts w:ascii="Arial" w:cs="Arial" w:eastAsia="Arial" w:hAnsi="Arial"/>
                <w:sz w:val="24"/>
                <w:szCs w:val="24"/>
              </w:rPr>
              <w:t xml:space="preserve">c</w:t>
            </w:r>
            <w:r>
              <w:rPr>
                <w:rFonts w:ascii="Arial" w:cs="Arial" w:eastAsia="Arial" w:hAnsi="Arial"/>
                <w:sz w:val="24"/>
                <w:szCs w:val="24"/>
              </w:rPr>
              <w:t xml:space="preserve"> отсутствие серьезной нежелательной реакции</w:t>
            </w:r>
          </w:p>
          <w:p>
            <w:pPr>
              <w:jc w:val="left"/>
            </w:pPr>
            <w:r>
              <w:rPr>
                <w:rFonts w:ascii="Arial" w:cs="Arial" w:eastAsia="Arial" w:hAnsi="Arial"/>
                <w:sz w:val="24"/>
                <w:szCs w:val="24"/>
              </w:rPr>
              <w:t xml:space="preserve">c</w:t>
            </w:r>
            <w:r>
              <w:rPr>
                <w:rFonts w:ascii="Arial" w:cs="Arial" w:eastAsia="Arial" w:hAnsi="Arial"/>
                <w:sz w:val="24"/>
                <w:szCs w:val="24"/>
              </w:rPr>
              <w:t xml:space="preserve"> повторно не назначалось</w:t>
            </w:r>
          </w:p>
          <w:p>
            <w:pPr>
              <w:jc w:val="left"/>
            </w:pPr>
            <w:r>
              <w:rPr>
                <w:rFonts w:ascii="Arial" w:cs="Arial" w:eastAsia="Arial" w:hAnsi="Arial"/>
                <w:sz w:val="24"/>
                <w:szCs w:val="24"/>
              </w:rPr>
              <w:t xml:space="preserve">c</w:t>
            </w:r>
            <w:r>
              <w:rPr>
                <w:rFonts w:ascii="Arial" w:cs="Arial" w:eastAsia="Arial" w:hAnsi="Arial"/>
                <w:sz w:val="24"/>
                <w:szCs w:val="24"/>
              </w:rPr>
              <w:t xml:space="preserve"> отсутствие серьезной нежелательной реакции при снижении дозы</w:t>
            </w:r>
          </w:p>
          <w:p>
            <w:pPr>
              <w:jc w:val="left"/>
            </w:pPr>
            <w:r>
              <w:rPr>
                <w:rFonts w:ascii="Arial" w:cs="Arial" w:eastAsia="Arial" w:hAnsi="Arial"/>
                <w:sz w:val="24"/>
                <w:szCs w:val="24"/>
              </w:rPr>
              <w:t xml:space="preserve">c</w:t>
            </w:r>
            <w:r>
              <w:rPr>
                <w:rFonts w:ascii="Arial" w:cs="Arial" w:eastAsia="Arial" w:hAnsi="Arial"/>
                <w:sz w:val="24"/>
                <w:szCs w:val="24"/>
              </w:rPr>
              <w:t xml:space="preserve"> неизвестно</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Подозреваемое лекарственное средство применяется в:</w:t>
            </w:r>
          </w:p>
          <w:p>
            <w:pPr>
              <w:jc w:val="left"/>
            </w:pPr>
            <w:r>
              <w:rPr>
                <w:rFonts w:ascii="Arial" w:cs="Arial" w:eastAsia="Arial" w:hAnsi="Arial"/>
                <w:sz w:val="24"/>
                <w:szCs w:val="24"/>
              </w:rPr>
              <w:t xml:space="preserve">c</w:t>
            </w:r>
            <w:r>
              <w:rPr>
                <w:rFonts w:ascii="Arial" w:cs="Arial" w:eastAsia="Arial" w:hAnsi="Arial"/>
                <w:sz w:val="24"/>
                <w:szCs w:val="24"/>
              </w:rPr>
              <w:t xml:space="preserve"> медицинской практике</w:t>
            </w:r>
          </w:p>
          <w:p>
            <w:pPr>
              <w:jc w:val="left"/>
            </w:pPr>
            <w:r>
              <w:rPr>
                <w:rFonts w:ascii="Arial" w:cs="Arial" w:eastAsia="Arial" w:hAnsi="Arial"/>
                <w:sz w:val="24"/>
                <w:szCs w:val="24"/>
              </w:rPr>
              <w:t xml:space="preserve">c</w:t>
            </w:r>
            <w:r>
              <w:rPr>
                <w:rFonts w:ascii="Arial" w:cs="Arial" w:eastAsia="Arial" w:hAnsi="Arial"/>
                <w:sz w:val="24"/>
                <w:szCs w:val="24"/>
              </w:rPr>
              <w:t xml:space="preserve"> ____________________________________________________________________________</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Важная дополнительная информация:</w:t>
            </w:r>
          </w:p>
          <w:p>
            <w:pPr>
              <w:jc w:val="left"/>
            </w:pPr>
            <w:r>
              <w:rPr>
                <w:rFonts w:ascii="Arial" w:cs="Arial" w:eastAsia="Arial" w:hAnsi="Arial"/>
                <w:sz w:val="24"/>
                <w:szCs w:val="24"/>
              </w:rPr>
              <w:t xml:space="preserve">данные клинических, лабораторных, рентгенологических исследований и аутопсии, включая определение концентрации лекарственных средств в крови (тканях), если таковые имеются и связаны с нежелательной реакцией (пожалуйста, приведите даты):</w:t>
            </w:r>
          </w:p>
          <w:p>
            <w:pPr>
              <w:jc w:val="left"/>
            </w:pPr>
            <w:r>
              <w:rPr>
                <w:rFonts w:ascii="Arial" w:cs="Arial" w:eastAsia="Arial" w:hAnsi="Arial"/>
                <w:sz w:val="24"/>
                <w:szCs w:val="24"/>
              </w:rPr>
              <w:t xml:space="preserve">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w:t>
            </w:r>
          </w:p>
          <w:p>
            <w:pPr>
              <w:jc w:val="left"/>
            </w:pPr>
            <w:r>
              <w:rPr>
                <w:rFonts w:ascii="Arial" w:cs="Arial" w:eastAsia="Arial" w:hAnsi="Arial"/>
                <w:sz w:val="24"/>
                <w:szCs w:val="24"/>
              </w:rPr>
              <w:t xml:space="preserve">Сопутствующие заболевания, анамнестические данные:
 ______________________________________________________________________________
 ______________________________________________________________________________
 ______________________________________________________________________________</w:t>
            </w:r>
          </w:p>
          <w:p>
            <w:pPr>
              <w:jc w:val="left"/>
            </w:pPr>
            <w:r>
              <w:rPr>
                <w:rFonts w:ascii="Arial" w:cs="Arial" w:eastAsia="Arial" w:hAnsi="Arial"/>
                <w:sz w:val="24"/>
                <w:szCs w:val="24"/>
              </w:rPr>
              <w:t xml:space="preserve">Подозреваемые лекарственные взаимодействия:
 ______________________________________________________________________________
 ______________________________________________________________________________</w:t>
            </w:r>
          </w:p>
          <w:p>
            <w:pPr>
              <w:jc w:val="left"/>
            </w:pPr>
            <w:r>
              <w:rPr>
                <w:rFonts w:ascii="Arial" w:cs="Arial" w:eastAsia="Arial" w:hAnsi="Arial"/>
                <w:sz w:val="24"/>
                <w:szCs w:val="24"/>
              </w:rPr>
              <w:t xml:space="preserve">Для врожденных аномалий указать все другие ЛС, принимаемые во время беременности, а также дату последней менструации:
 ______________________________________________________________________________
 ______________________________________________________________________________
 ______________________________________________________________________________</w:t>
            </w:r>
          </w:p>
          <w:p>
            <w:pPr>
              <w:jc w:val="left"/>
            </w:pPr>
            <w:r>
              <w:rPr>
                <w:rFonts w:ascii="Arial" w:cs="Arial" w:eastAsia="Arial" w:hAnsi="Arial"/>
                <w:sz w:val="24"/>
                <w:szCs w:val="24"/>
              </w:rPr>
              <w:t xml:space="preserve">Пожалуйста, приложите дополнительные страницы, если это необходимо.</w:t>
            </w:r>
          </w:p>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 _________________ 20__ года</w:t>
      </w:r>
      <w:r>
        <w:rPr>
          <w:rFonts w:ascii="Arial" w:cs="Arial" w:eastAsia="Arial" w:hAnsi="Arial"/>
          <w:sz w:val="24"/>
          <w:szCs w:val="24"/>
        </w:rPr>
        <w:t xml:space="preserve">	</w:t>
      </w:r>
      <w:r>
        <w:rPr>
          <w:rFonts w:ascii="Arial" w:cs="Arial" w:eastAsia="Arial" w:hAnsi="Arial"/>
          <w:sz w:val="24"/>
          <w:szCs w:val="24"/>
        </w:rPr>
        <w:t xml:space="preserve">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Порядку организации системы фармаконадзора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Сообщение
 о непредвиденной нежелательной реакции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5"/>
        <w:gridCol w:w="1045"/>
        <w:gridCol w:w="1045"/>
        <w:gridCol w:w="1045"/>
        <w:gridCol w:w="1045"/>
        <w:gridCol w:w="991"/>
        <w:gridCol w:w="991"/>
        <w:gridCol w:w="991"/>
        <w:gridCol w:w="991"/>
        <w:gridCol w:w="991"/>
      </w:tblGrid>
      <w:tr>
        <w:tc>
          <w:tcPr>
            <w:tcW w:type="dxa" w:w="5225"/>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Сообщение о непредвиденной нежелательной реакции</w:t>
            </w:r>
          </w:p>
        </w:tc>
        <w:tc>
          <w:tcPr>
            <w:tcW w:type="dxa" w:w="495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Информация о непредвиденной нежелательной реакции</w:t>
            </w:r>
          </w:p>
        </w:tc>
      </w:tr>
      <w:tr>
        <w:tc>
          <w:tcPr>
            <w:tcW w:type="dxa" w:w="10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Инициалы пациента</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w:t>
            </w:r>
          </w:p>
        </w:tc>
        <w:tc>
          <w:tcPr>
            <w:tcW w:type="dxa" w:w="313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рождения</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Возраст</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w:t>
            </w:r>
          </w:p>
        </w:tc>
        <w:tc>
          <w:tcPr>
            <w:tcW w:type="dxa" w:w="297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начала нежелательной реакции</w:t>
            </w:r>
          </w:p>
        </w:tc>
      </w:tr>
      <w:tr>
        <w:tc>
          <w:tcPr>
            <w:tcW w:type="dxa" w:w="10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(день)</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(месяц)</w:t>
            </w:r>
          </w:p>
        </w:tc>
        <w:tc>
          <w:tcPr>
            <w:tcW w:type="dxa" w:w="10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(год)</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Лет</w:t>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(день)</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(месяц)</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
 (год)</w:t>
            </w:r>
          </w:p>
        </w:tc>
      </w:tr>
      <w:tr>
        <w:tc>
          <w:tcPr>
            <w:tcW w:type="dxa" w:w="6216"/>
            <w:gridSpan w:val="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непредвиденной нежелательной реакции (реакций) (включая данные лабораторных и других исследований)</w:t>
            </w:r>
          </w:p>
        </w:tc>
        <w:tc>
          <w:tcPr>
            <w:tcW w:type="dxa" w:w="39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r>
              <w:rPr>
                <w:rFonts w:ascii="Arial" w:cs="Arial" w:eastAsia="Arial" w:hAnsi="Arial"/>
                <w:sz w:val="24"/>
                <w:szCs w:val="24"/>
              </w:rPr>
              <w:t xml:space="preserve"> Исход н/н реакции</w:t>
            </w:r>
          </w:p>
        </w:tc>
      </w:tr>
      <w:tr>
        <w:tc>
          <w:tcPr>
            <w:gridSpan w:val="6"/>
            <w:vMerge w:val="continue"/>
            <w:tcBorders>
              <w:top w:val="none" w:color="auto" w:sz="0"/>
              <w:left w:val="single" w:color="CBBF9E" w:sz="4"/>
              <w:bottom w:val="single" w:color="CBBF9E" w:sz="4"/>
              <w:right w:val="single" w:color="CBBF9E" w:sz="4"/>
            </w:tcBorders>
          </w:tcPr>
          <w:p/>
        </w:tc>
        <w:tc>
          <w:tcPr>
            <w:tcW w:type="dxa" w:w="396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r>
              <w:rPr>
                <w:rFonts w:ascii="Arial" w:cs="Arial" w:eastAsia="Arial" w:hAnsi="Arial"/>
                <w:sz w:val="24"/>
                <w:szCs w:val="24"/>
              </w:rPr>
              <w:t xml:space="preserve"> Пациент умер</w:t>
            </w:r>
          </w:p>
          <w:p>
            <w:pPr>
              <w:jc w:val="left"/>
            </w:pPr>
            <w:r>
              <w:rPr>
                <w:rFonts w:ascii="Arial" w:cs="Arial" w:eastAsia="Arial" w:hAnsi="Arial"/>
                <w:sz w:val="24"/>
                <w:szCs w:val="24"/>
              </w:rPr>
              <w:t xml:space="preserve">c</w:t>
            </w:r>
            <w:r>
              <w:rPr>
                <w:rFonts w:ascii="Arial" w:cs="Arial" w:eastAsia="Arial" w:hAnsi="Arial"/>
                <w:sz w:val="24"/>
                <w:szCs w:val="24"/>
              </w:rPr>
              <w:t xml:space="preserve"> Госпитализация или ее продление</w:t>
            </w:r>
          </w:p>
          <w:p>
            <w:pPr>
              <w:jc w:val="left"/>
            </w:pPr>
            <w:r>
              <w:rPr>
                <w:rFonts w:ascii="Arial" w:cs="Arial" w:eastAsia="Arial" w:hAnsi="Arial"/>
                <w:sz w:val="24"/>
                <w:szCs w:val="24"/>
              </w:rPr>
              <w:t xml:space="preserve">c</w:t>
            </w:r>
            <w:r>
              <w:rPr>
                <w:rFonts w:ascii="Arial" w:cs="Arial" w:eastAsia="Arial" w:hAnsi="Arial"/>
                <w:sz w:val="24"/>
                <w:szCs w:val="24"/>
              </w:rPr>
              <w:t xml:space="preserve"> Стойкая или выраженная нетрудоспособность</w:t>
            </w:r>
          </w:p>
          <w:p>
            <w:pPr>
              <w:jc w:val="left"/>
            </w:pPr>
            <w:r>
              <w:rPr>
                <w:rFonts w:ascii="Arial" w:cs="Arial" w:eastAsia="Arial" w:hAnsi="Arial"/>
                <w:sz w:val="24"/>
                <w:szCs w:val="24"/>
              </w:rPr>
              <w:t xml:space="preserve">c</w:t>
            </w:r>
            <w:r>
              <w:rPr>
                <w:rFonts w:ascii="Arial" w:cs="Arial" w:eastAsia="Arial" w:hAnsi="Arial"/>
                <w:sz w:val="24"/>
                <w:szCs w:val="24"/>
              </w:rPr>
              <w:t xml:space="preserve"> Представляла угрозу для жизни пациента</w:t>
            </w:r>
          </w:p>
          <w:p>
            <w:pPr>
              <w:jc w:val="left"/>
            </w:pPr>
            <w:r>
              <w:rPr>
                <w:rFonts w:ascii="Arial" w:cs="Arial" w:eastAsia="Arial" w:hAnsi="Arial"/>
                <w:sz w:val="24"/>
                <w:szCs w:val="24"/>
              </w:rPr>
              <w:t xml:space="preserve">c</w:t>
            </w:r>
            <w:r>
              <w:rPr>
                <w:rFonts w:ascii="Arial" w:cs="Arial" w:eastAsia="Arial" w:hAnsi="Arial"/>
                <w:sz w:val="24"/>
                <w:szCs w:val="24"/>
              </w:rPr>
              <w:t xml:space="preserve"> Развитие врожденной аномалии</w:t>
            </w:r>
          </w:p>
          <w:p>
            <w:pPr>
              <w:jc w:val="left"/>
            </w:pPr>
            <w:r>
              <w:rPr>
                <w:rFonts w:ascii="Arial" w:cs="Arial" w:eastAsia="Arial" w:hAnsi="Arial"/>
                <w:sz w:val="24"/>
                <w:szCs w:val="24"/>
              </w:rPr>
              <w:t xml:space="preserve">c</w:t>
            </w:r>
            <w:r>
              <w:rPr>
                <w:rFonts w:ascii="Arial" w:cs="Arial" w:eastAsia="Arial" w:hAnsi="Arial"/>
                <w:sz w:val="24"/>
                <w:szCs w:val="24"/>
              </w:rPr>
              <w:t xml:space="preserve"> Другие состояния, важные с медицинской точки зрения</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Информация о подозреваемом лекарственном средстве</w:t>
            </w:r>
          </w:p>
        </w:tc>
      </w:tr>
      <w:tr>
        <w:tc>
          <w:tcPr>
            <w:tcW w:type="dxa" w:w="819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Подозреваемое лекарственное средство (включая торговое наименование генерического лекарственного средства)</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Наблюдалось ли ослабление нежелательной реакции после отмены лекарственного средства?</w:t>
            </w:r>
          </w:p>
          <w:p>
            <w:pPr>
              <w:jc w:val="left"/>
            </w:pPr>
            <w:r>
              <w:rPr>
                <w:rFonts w:ascii="Arial" w:cs="Arial" w:eastAsia="Arial" w:hAnsi="Arial"/>
                <w:sz w:val="24"/>
                <w:szCs w:val="24"/>
              </w:rPr>
              <w:t xml:space="preserve">c</w:t>
            </w:r>
            <w:r>
              <w:rPr>
                <w:rFonts w:ascii="Arial" w:cs="Arial" w:eastAsia="Arial" w:hAnsi="Arial"/>
                <w:sz w:val="24"/>
                <w:szCs w:val="24"/>
              </w:rPr>
              <w:t xml:space="preserve"> Да </w:t>
            </w:r>
            <w:r>
              <w:rPr>
                <w:rFonts w:ascii="Arial" w:cs="Arial" w:eastAsia="Arial" w:hAnsi="Arial"/>
                <w:sz w:val="24"/>
                <w:szCs w:val="24"/>
              </w:rPr>
              <w:t xml:space="preserve">c</w:t>
            </w:r>
            <w:r>
              <w:rPr>
                <w:rFonts w:ascii="Arial" w:cs="Arial" w:eastAsia="Arial" w:hAnsi="Arial"/>
                <w:sz w:val="24"/>
                <w:szCs w:val="24"/>
              </w:rPr>
              <w:t xml:space="preserve"> Нет
 </w:t>
            </w:r>
            <w:r>
              <w:rPr>
                <w:rFonts w:ascii="Arial" w:cs="Arial" w:eastAsia="Arial" w:hAnsi="Arial"/>
                <w:sz w:val="24"/>
                <w:szCs w:val="24"/>
              </w:rPr>
              <w:t xml:space="preserve">c</w:t>
            </w:r>
            <w:r>
              <w:rPr>
                <w:rFonts w:ascii="Arial" w:cs="Arial" w:eastAsia="Arial" w:hAnsi="Arial"/>
                <w:sz w:val="24"/>
                <w:szCs w:val="24"/>
              </w:rPr>
              <w:t xml:space="preserve"> Не указано</w:t>
            </w:r>
          </w:p>
        </w:tc>
      </w:tr>
      <w:tr>
        <w:tc>
          <w:tcPr>
            <w:tcW w:type="dxa" w:w="720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Суточная доза, режим дозирования</w:t>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 введения</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Возобновилась ли нежелательная реакция после повторного назначения?</w:t>
            </w:r>
          </w:p>
        </w:tc>
      </w:tr>
      <w:tr>
        <w:tc>
          <w:tcPr>
            <w:tcW w:type="dxa" w:w="819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Показание (показания) к назначению</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w:t>
            </w:r>
            <w:r>
              <w:rPr>
                <w:rFonts w:ascii="Arial" w:cs="Arial" w:eastAsia="Arial" w:hAnsi="Arial"/>
                <w:sz w:val="24"/>
                <w:szCs w:val="24"/>
              </w:rPr>
              <w:t xml:space="preserve"> Да </w:t>
            </w:r>
            <w:r>
              <w:rPr>
                <w:rFonts w:ascii="Arial" w:cs="Arial" w:eastAsia="Arial" w:hAnsi="Arial"/>
                <w:sz w:val="24"/>
                <w:szCs w:val="24"/>
              </w:rPr>
              <w:t xml:space="preserve">c</w:t>
            </w:r>
            <w:r>
              <w:rPr>
                <w:rFonts w:ascii="Arial" w:cs="Arial" w:eastAsia="Arial" w:hAnsi="Arial"/>
                <w:sz w:val="24"/>
                <w:szCs w:val="24"/>
              </w:rPr>
              <w:t xml:space="preserve"> Нет
 </w:t>
            </w:r>
            <w:r>
              <w:rPr>
                <w:rFonts w:ascii="Arial" w:cs="Arial" w:eastAsia="Arial" w:hAnsi="Arial"/>
                <w:sz w:val="24"/>
                <w:szCs w:val="24"/>
              </w:rPr>
              <w:t xml:space="preserve">c</w:t>
            </w:r>
            <w:r>
              <w:rPr>
                <w:rFonts w:ascii="Arial" w:cs="Arial" w:eastAsia="Arial" w:hAnsi="Arial"/>
                <w:sz w:val="24"/>
                <w:szCs w:val="24"/>
              </w:rPr>
              <w:t xml:space="preserve"> Не указано</w:t>
            </w:r>
          </w:p>
        </w:tc>
      </w:tr>
      <w:tr>
        <w:tc>
          <w:tcPr>
            <w:tcW w:type="dxa" w:w="720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начала и окончания терапии</w:t>
            </w:r>
          </w:p>
        </w:tc>
        <w:tc>
          <w:tcPr>
            <w:tcW w:type="dxa" w:w="2973"/>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терапии</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Сопутствующая терапия, заболевания и факторы риска</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Сопутствующие лекарственные средства и даты их назначения (за исключением применявшихся с целью купирования симптомов нежелательной реакции)</w:t>
            </w:r>
          </w:p>
        </w:tc>
      </w:tr>
      <w:tr>
        <w:tc>
          <w:tcPr>
            <w:tcW w:type="dxa" w:w="10180"/>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Сопутствующая патология и факторы риска (диагнозы, аллергия, беременность с указанием даты последней менструации и т.д.)</w:t>
            </w:r>
          </w:p>
        </w:tc>
      </w:tr>
      <w:tr>
        <w:tc>
          <w:tcPr>
            <w:tcW w:type="dxa" w:w="10180"/>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Информация о производителе</w:t>
            </w:r>
          </w:p>
        </w:tc>
      </w:tr>
      <w:tr>
        <w:tc>
          <w:tcPr>
            <w:tcW w:type="dxa" w:w="8198"/>
            <w:gridSpan w:val="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 адрес производителя</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Собственное имя и адрес лица, представившего сообщение (включая почтовый индекс)</w:t>
            </w:r>
          </w:p>
        </w:tc>
      </w:tr>
      <w:tr>
        <w:tc>
          <w:tcPr>
            <w:tcW w:type="dxa" w:w="4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Оригинальное сообщение №</w:t>
            </w:r>
          </w:p>
        </w:tc>
        <w:tc>
          <w:tcPr>
            <w:tcW w:type="dxa" w:w="401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Контрольный номер сообщения, присвоенный производителем</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получения сообщения производителем</w:t>
            </w:r>
          </w:p>
        </w:tc>
        <w:tc>
          <w:tcPr>
            <w:tcW w:type="dxa" w:w="401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 сообщения</w:t>
            </w:r>
          </w:p>
          <w:p>
            <w:pPr>
              <w:jc w:val="left"/>
            </w:pPr>
            <w:r>
              <w:rPr>
                <w:rFonts w:ascii="Arial" w:cs="Arial" w:eastAsia="Arial" w:hAnsi="Arial"/>
                <w:sz w:val="24"/>
                <w:szCs w:val="24"/>
              </w:rPr>
              <w:t xml:space="preserve">c</w:t>
            </w:r>
            <w:r>
              <w:rPr>
                <w:rFonts w:ascii="Arial" w:cs="Arial" w:eastAsia="Arial" w:hAnsi="Arial"/>
                <w:sz w:val="24"/>
                <w:szCs w:val="24"/>
              </w:rPr>
              <w:t xml:space="preserve"> исследование</w:t>
            </w:r>
          </w:p>
          <w:p>
            <w:pPr>
              <w:jc w:val="left"/>
            </w:pPr>
            <w:r>
              <w:rPr>
                <w:rFonts w:ascii="Arial" w:cs="Arial" w:eastAsia="Arial" w:hAnsi="Arial"/>
                <w:sz w:val="24"/>
                <w:szCs w:val="24"/>
              </w:rPr>
              <w:t xml:space="preserve">c</w:t>
            </w:r>
            <w:r>
              <w:rPr>
                <w:rFonts w:ascii="Arial" w:cs="Arial" w:eastAsia="Arial" w:hAnsi="Arial"/>
                <w:sz w:val="24"/>
                <w:szCs w:val="24"/>
              </w:rPr>
              <w:t xml:space="preserve"> специальная литература</w:t>
            </w:r>
          </w:p>
          <w:p>
            <w:pPr>
              <w:jc w:val="left"/>
            </w:pPr>
            <w:r>
              <w:rPr>
                <w:rFonts w:ascii="Arial" w:cs="Arial" w:eastAsia="Arial" w:hAnsi="Arial"/>
                <w:sz w:val="24"/>
                <w:szCs w:val="24"/>
              </w:rPr>
              <w:t xml:space="preserve">c</w:t>
            </w:r>
            <w:r>
              <w:rPr>
                <w:rFonts w:ascii="Arial" w:cs="Arial" w:eastAsia="Arial" w:hAnsi="Arial"/>
                <w:sz w:val="24"/>
                <w:szCs w:val="24"/>
              </w:rPr>
              <w:t xml:space="preserve"> специалист здравоохранения</w:t>
            </w:r>
          </w:p>
          <w:p>
            <w:pPr>
              <w:jc w:val="left"/>
            </w:pPr>
            <w:r>
              <w:rPr>
                <w:rFonts w:ascii="Arial" w:cs="Arial" w:eastAsia="Arial" w:hAnsi="Arial"/>
                <w:sz w:val="24"/>
                <w:szCs w:val="24"/>
              </w:rPr>
              <w:t xml:space="preserve">c</w:t>
            </w:r>
            <w:r>
              <w:rPr>
                <w:rFonts w:ascii="Arial" w:cs="Arial" w:eastAsia="Arial" w:hAnsi="Arial"/>
                <w:sz w:val="24"/>
                <w:szCs w:val="24"/>
              </w:rPr>
              <w:t xml:space="preserve"> контрольно-разрешительный орган</w:t>
            </w:r>
          </w:p>
          <w:p>
            <w:pPr>
              <w:jc w:val="left"/>
            </w:pPr>
            <w:r>
              <w:rPr>
                <w:rFonts w:ascii="Arial" w:cs="Arial" w:eastAsia="Arial" w:hAnsi="Arial"/>
                <w:sz w:val="24"/>
                <w:szCs w:val="24"/>
              </w:rPr>
              <w:t xml:space="preserve">c</w:t>
            </w:r>
            <w:r>
              <w:rPr>
                <w:rFonts w:ascii="Arial" w:cs="Arial" w:eastAsia="Arial" w:hAnsi="Arial"/>
                <w:sz w:val="24"/>
                <w:szCs w:val="24"/>
              </w:rPr>
              <w:t xml:space="preserve"> другой</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80"/>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сообщения</w:t>
            </w:r>
          </w:p>
        </w:tc>
        <w:tc>
          <w:tcPr>
            <w:tcW w:type="dxa" w:w="401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сообщения</w:t>
            </w:r>
          </w:p>
          <w:p>
            <w:pPr>
              <w:jc w:val="left"/>
            </w:pPr>
            <w:r>
              <w:rPr>
                <w:rFonts w:ascii="Arial" w:cs="Arial" w:eastAsia="Arial" w:hAnsi="Arial"/>
                <w:sz w:val="24"/>
                <w:szCs w:val="24"/>
              </w:rPr>
              <w:t xml:space="preserve">c</w:t>
            </w:r>
            <w:r>
              <w:rPr>
                <w:rFonts w:ascii="Arial" w:cs="Arial" w:eastAsia="Arial" w:hAnsi="Arial"/>
                <w:sz w:val="24"/>
                <w:szCs w:val="24"/>
              </w:rPr>
              <w:t xml:space="preserve"> первичное</w:t>
            </w:r>
          </w:p>
          <w:p>
            <w:pPr>
              <w:jc w:val="left"/>
            </w:pPr>
            <w:r>
              <w:rPr>
                <w:rFonts w:ascii="Arial" w:cs="Arial" w:eastAsia="Arial" w:hAnsi="Arial"/>
                <w:sz w:val="24"/>
                <w:szCs w:val="24"/>
              </w:rPr>
              <w:t xml:space="preserve">c</w:t>
            </w:r>
            <w:r>
              <w:rPr>
                <w:rFonts w:ascii="Arial" w:cs="Arial" w:eastAsia="Arial" w:hAnsi="Arial"/>
                <w:sz w:val="24"/>
                <w:szCs w:val="24"/>
              </w:rPr>
              <w:t xml:space="preserve"> последующая информация</w:t>
            </w:r>
          </w:p>
        </w:tc>
        <w:tc>
          <w:tcPr>
            <w:tcW w:type="dxa" w:w="198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0jc_om3rogy9_r5o_gbm">
      <w:r>
        <w:rPr>
          <w:rFonts w:ascii="Arial" w:cs="Arial" w:eastAsia="Arial" w:hAnsi="Arial"/>
          <w:color w:val="132D3F"/>
          <w:sz w:val="16"/>
          <w:szCs w:val="16"/>
          <w:u w:val="single"/>
        </w:rPr>
        <w:t xml:space="preserve">dalil.kg/document/12761</w:t>
      </w:r>
    </w:hyperlink>
  </w:p>
  <w:p>
    <w:pPr>
      <w:spacing w:after="0" w:before="40"/>
      <w:jc w:val="center"/>
    </w:pPr>
    <w:hyperlink w:history="1" r:id="rIdwddzmiwtu-tz-t46gdf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s12xrk_mdujdbe0uka" Type="http://schemas.openxmlformats.org/officeDocument/2006/relationships/hyperlink" Target="https://dalil.kg/document/12760" TargetMode="External"/><Relationship Id="rIdkukn4drgcy9ovt8tpfchc" Type="http://schemas.openxmlformats.org/officeDocument/2006/relationships/hyperlink" Target="https://dalil.kg/document/12761#p1" TargetMode="External"/><Relationship Id="rId_vckt72anulwbwg56umow" Type="http://schemas.openxmlformats.org/officeDocument/2006/relationships/hyperlink" Target="https://dalil.kg/document/12761#p2" TargetMode="External"/><Relationship Id="rIdzobnzi9fso12o9k-36gzo" Type="http://schemas.openxmlformats.org/officeDocument/2006/relationships/hyperlink" Target="https://dalil.kg/document/12761#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0jc_om3rogy9_r5o_gbm" Type="http://schemas.openxmlformats.org/officeDocument/2006/relationships/hyperlink" Target="https://dalil.kg/document/12761" TargetMode="External"/><Relationship Id="rIdwddzmiwtu-tz-t46gdf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2026-09-25T08:39:05.051Z</dcterms:created>
  <dcterms:modified xsi:type="dcterms:W3CDTF">2026-09-25T08:39:05.051Z</dcterms:modified>
</cp:coreProperties>
</file>

<file path=docProps/custom.xml><?xml version="1.0" encoding="utf-8"?>
<Properties xmlns="http://schemas.openxmlformats.org/officeDocument/2006/custom-properties" xmlns:vt="http://schemas.openxmlformats.org/officeDocument/2006/docPropsVTypes"/>
</file>