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2003 года № 159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системе Единого плательщика в финансировании здравоохранения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 </w:t>
      </w:r>
      <w:hyperlink w:history="1" r:id="rIdcdijs1dbqbjjgv2o-or_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2009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4ccntf8dyqi0cvpisrt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ac7c88xbhamo57zmjhj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je1xme4c7ptx8yshdw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правовые, организационные и финансовые основы функционирования системы Единого плательщика при финансировании здравоохранения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Понятие системы 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Единого плательщика - консолидация финансовых ресурсов здравоохранения из средств обязательного медицинского страхования с целью последующего проведения финансирования по расчетам за медико-санитарные и фармацевтические услуги, оказанные застрахованному по обязательному медицинскому страхованию населению организациями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Функционирование системы Единого плательщика предусматривает определение в Кыргызской Республике единого финансирующего органа здравоохранения с передачей ему полномочий управления средствами базового государственного медицинского страхования и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uf93fxehiio2gnauox8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понятия и определения,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 государственных гарантий по обеспечению граждан медико-санитарной помощью (далее - Программа государственных гарантий)</w:t>
      </w:r>
      <w:r>
        <w:rPr>
          <w:rFonts w:ascii="Arial" w:cs="Arial" w:eastAsia="Arial" w:hAnsi="Arial"/>
          <w:sz w:val="24"/>
          <w:szCs w:val="24"/>
        </w:rPr>
        <w:t xml:space="preserve"> - гарантированные объем, виды и условия предоставления медико-санитарной помощи гражданам, обеспечивающие реализацию их прав на получение медико-санитарной помощи в организациях здравоохранения, независимо от форм собственности, в соответствии с законодательством Кыргызской Республики в сфере здравоохранения и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средняя стоимость пролеченного случая</w:t>
      </w:r>
      <w:r>
        <w:rPr>
          <w:rFonts w:ascii="Arial" w:cs="Arial" w:eastAsia="Arial" w:hAnsi="Arial"/>
          <w:sz w:val="24"/>
          <w:szCs w:val="24"/>
        </w:rPr>
        <w:t xml:space="preserve"> - средний расчетный показатель, отражающий размеры средств обязательного медицинского страхования и сооплаты населения, направляемых за каждого пролеченного застрахованного больного;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подушевой норматив</w:t>
      </w:r>
      <w:r>
        <w:rPr>
          <w:rFonts w:ascii="Arial" w:cs="Arial" w:eastAsia="Arial" w:hAnsi="Arial"/>
          <w:sz w:val="24"/>
          <w:szCs w:val="24"/>
        </w:rPr>
        <w:t xml:space="preserve"> - средний расчетный показатель финансирования первичной и специализированной медико-санитарной помощи на одного обслуживаемого или прикрепленного застрахованного по обязательному медицинскому страхованию жителя с корректировкой на поправочные коэффициенты;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консолидированный бюджет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совокупность средств государственного бюджета, обязательного медицинского страхования, внешних заимствований и грантовой помощи доноров, а также средств, аккумулируемых на специальных казначейских счетах, средств, полученных от сооплаты населения в системе здравоохранения и иных средств,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предоставляющее медицинские и иные услуги в системе Единого плательщика на основе заключенных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исполнительный орган, реализующий государственную политику в сфере обязательного медицинского страхования,</w:t>
      </w:r>
      <w:r>
        <w:rPr>
          <w:rFonts w:ascii="Arial" w:cs="Arial" w:eastAsia="Arial" w:hAnsi="Arial"/>
          <w:sz w:val="24"/>
          <w:szCs w:val="24"/>
        </w:rPr>
        <w:t xml:space="preserve"> - подведомственное подразделение уполномоченного государственного органа в сфере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p0n9xc2oievc-svgv5_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Цель и основные принципы системы 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введения системы Единого плательщика является консолидация бюджета здравоохранения для ресурсного обеспечения исполнения Программы государственных гарантий и совершенствования методов финансирования в здравоохранении.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принципы функционирования системы Единого плательщика: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равная доступность для застрахованных по обязательному медицинскому страхованию граждан в получении медико-санитарной помощи по Программе государственных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равный доступ для поставщиков к средствам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договорные отношения между органами, исполняющими функции Единого плательщика и Поставщика;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Поставщиком при реализации Программы государственных гарантий единых методов формирования тарифов (цен) на предоставляемые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финансовая автономия Поставщика в использовании средств обязательного медицинского страхования и сооплаты.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обязательного медицинского страхования, сооплаты населения и специальных средств, полученные Поставщиком по расчетам в системе Единого плательщика, не подлежат налогообложению и изъятию в государственный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ehz8fygvl8jbyjl424b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Орган, уполномоченный исполнять функции 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Единым плательщиком в Кыргызской Республике является исполнительный орган, реализующий государственную политику в сфере обязательного медицинского страхования и уполномоченный осуществлять финансирование программ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tqmvv3welrk_tzt1hik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Финансовые основы функционирования системы 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Единого плательщика функционирует по территориальному принципу.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обязательного медицинского страхования передаются в управление Фонда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Единый плательщик на основании договоров, заключенных с Поставщиком, осуществляет оплату их услуг из средств обязательного медицинского страхования путем проведения одноканального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оплаты медицинских, профилактических и фармацевтических услуг, оказываемых гражданам в системе Единого плательщика, состоит из базовых нормативов оплаты с корректировкой на поправочные коэффициенты, определяемые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норматив оплаты медицинских, профилактических и фармацевтических услуг определяется по видам медико-санитарной помощи с учетом прогнозируемых финансовых показателей и объемов медико-санитарной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средствам сооплаты населения Единый плательщик формирует сводные данные на основе отчетов организаций здравоохранения и использует их при составлении консолидированного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t4wpnzkqhbrplfscn44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Взаимоотношения между государственными органами и Единым плательщиком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объеме планируемого поступления доходов Единый плательщик формирует бюджет на среднесрочную перспективу с целью реализации Программы государственных гарантий и других программ в сфере здравоохранения и обязательного медицинского страхования в соответствии с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2 утратила силу в соответствии с </w:t>
      </w:r>
      <w:hyperlink w:history="1" r:id="rIdg7xc5cic4ryrvq7ov8n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7 августа 2024 года № 163)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уполномоченный осуществлять сбор взносов на обязательное медицинское страхование, проводит своевременное и полное перечисление собранных средств на обязательное медицинское страхование в бюджет Единого плательщика в порядке, установленном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6vhxs_6g3znrjfdl6e3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2020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x5lrkkdpodnnwzihhl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
 Права и обязанности 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Права 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Единый плательщик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бюджетной стратегии;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производить расчеты по финансовому обеспечению Программы государственных гарантий из средств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Программы государственных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пересмотру Программы государственных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использованием Поставщиком средств обязательного медицинского страхования, сооплаты.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welijqvmp9jvf-hf-mo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Обязанности 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Единый плательщик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эффективность и целевое использование средств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отчитываться перед Министерством здравоохранения Кыргызской Республики, Наблюдательным советом по здравоохранению и обязательному медицинскому страхованию об использовании средств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производить расчеты с поставщиком за исполнение Программы государственных гарантий и других отраслевых программ развития в объеме средств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avm6snc_mf4ittonfqn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2024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III
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5 августа 2003 года №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Законодательным собранием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июня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dijs1dbqbjjgv2o-or_g" Type="http://schemas.openxmlformats.org/officeDocument/2006/relationships/hyperlink" Target="http://kodeks.duckdns.org/document/202527" TargetMode="External"/><Relationship Id="rId4ccntf8dyqi0cvpisrtg5" Type="http://schemas.openxmlformats.org/officeDocument/2006/relationships/hyperlink" Target="http://kodeks.duckdns.org/document/205365" TargetMode="External"/><Relationship Id="rIdac7c88xbhamo57zmjhj2d" Type="http://schemas.openxmlformats.org/officeDocument/2006/relationships/hyperlink" Target="http://kodeks.duckdns.org/document/112144" TargetMode="External"/><Relationship Id="rIdaje1xme4c7ptx8yshdwxw" Type="http://schemas.openxmlformats.org/officeDocument/2006/relationships/hyperlink" Target="http://kodeks.duckdns.org/document/230012378" TargetMode="External"/><Relationship Id="rIduf93fxehiio2gnauox8z_" Type="http://schemas.openxmlformats.org/officeDocument/2006/relationships/hyperlink" Target="http://kodeks.duckdns.org/document/230012378" TargetMode="External"/><Relationship Id="rIdp0n9xc2oievc-svgv5_qu" Type="http://schemas.openxmlformats.org/officeDocument/2006/relationships/hyperlink" Target="http://kodeks.duckdns.org/document/230012378" TargetMode="External"/><Relationship Id="rIdehz8fygvl8jbyjl424bob" Type="http://schemas.openxmlformats.org/officeDocument/2006/relationships/hyperlink" Target="http://kodeks.duckdns.org/document/230012378" TargetMode="External"/><Relationship Id="rIdtqmvv3welrk_tzt1hikbe" Type="http://schemas.openxmlformats.org/officeDocument/2006/relationships/hyperlink" Target="http://kodeks.duckdns.org/document/230012378" TargetMode="External"/><Relationship Id="rIdt4wpnzkqhbrplfscn44lw" Type="http://schemas.openxmlformats.org/officeDocument/2006/relationships/hyperlink" Target="http://kodeks.duckdns.org/document/230012378" TargetMode="External"/><Relationship Id="rIdg7xc5cic4ryrvq7ov8nmp" Type="http://schemas.openxmlformats.org/officeDocument/2006/relationships/hyperlink" Target="http://kodeks.duckdns.org/document/230012378" TargetMode="External"/><Relationship Id="rId6vhxs_6g3znrjfdl6e3on" Type="http://schemas.openxmlformats.org/officeDocument/2006/relationships/hyperlink" Target="http://kodeks.duckdns.org/document/112144" TargetMode="External"/><Relationship Id="rIdjx5lrkkdpodnnwzihhlpx" Type="http://schemas.openxmlformats.org/officeDocument/2006/relationships/hyperlink" Target="http://kodeks.duckdns.org/document/230012378" TargetMode="External"/><Relationship Id="rIdwelijqvmp9jvf-hf-mok0" Type="http://schemas.openxmlformats.org/officeDocument/2006/relationships/hyperlink" Target="http://kodeks.duckdns.org/document/230012378" TargetMode="External"/><Relationship Id="rIdavm6snc_mf4ittonfqngx" Type="http://schemas.openxmlformats.org/officeDocument/2006/relationships/hyperlink" Target="http://kodeks.duckdns.org/document/230012378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2026-09-23T01:22:41.676Z</dcterms:created>
  <dcterms:modified xsi:type="dcterms:W3CDTF">2026-09-23T01:22:41.676Z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