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рубки особо ценных древесных пород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рубки особо ценных древесных пород в Кыргызской Республике (далее - Правила) определяют порядок рубки на основании заключения государственного органа исполнительной власти, обеспечивающего реализацию функций по проведению единой политики в области охраны окружающей среды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применяемые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обследования участка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составляется уполномоченным государственным органом по итогам осмотра земельного участка, в который вносятся данные о произрастающих особо ценных древесных породах;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на допуск к рубке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органом, на основании которого осуществляется рубка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количественные и качественные характеристики лесных ресурсов с картографическими материалами, который выдается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перечетная ведомость насаждений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составляемый уполномоченным государственным органом, в котором указывается перечень насаждений, произрастающих на земельном участке;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рубка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удаление лесных насаждений и процесс их валки (в том числе спиливание, срубание, срезание), а также иные технологически связанные с ними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трелевочный волок</w:t>
      </w:r>
      <w:r>
        <w:rPr>
          <w:rFonts w:ascii="Arial" w:cs="Arial" w:eastAsia="Arial" w:hAnsi="Arial"/>
          <w:sz w:val="24"/>
          <w:szCs w:val="24"/>
        </w:rPr>
        <w:t xml:space="preserve"> - кратчайший путь на лесосеке, по которому осуществляется трелевка или прямая вывозка деревьев, хлыстов, круглых или колотых сортиментов, обеспечивающая сохранение подроста, почвы и оставшихся на корню деревьев;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трелевка леса</w:t>
      </w:r>
      <w:r>
        <w:rPr>
          <w:rFonts w:ascii="Arial" w:cs="Arial" w:eastAsia="Arial" w:hAnsi="Arial"/>
          <w:sz w:val="24"/>
          <w:szCs w:val="24"/>
        </w:rPr>
        <w:t xml:space="preserve"> - перемещение деревьев, хлыстов или сортиментов от места валки до лесопогрузочного пункта или лесовозной дороги.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заявления в комиссию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подает в уполномоченный государственный орган заявление о допуске к рубке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адрес заявителя (для юридических лиц), фамилия, имя, отчество и место жительства заявителя (для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контактные данные (телефон, факс, адрес электронной почты);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административная единица (область, район, айылный аймак), на территории которой будет производиться рубка;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сроки предполагаемой рубки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особо ценных древесных пород, подлежащих рубке.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 - нотариально заверенная копия документа, подтверждающего государственную регистрацию в органах юстиции и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нотариально заверенная копия паспорта и документа, подтверждающего регистрацию в органах государственной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положительное заключение государственной экологической экспертизы уполномоченного государственного органа на проектную документацию о намечаемой деятельности на земельном участке с особо ценными древесными породами, за исключением случаев, указанных в пункте 29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участка по форме,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перечетная ведомость насаждений по форме,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лесоустроительный проект, составленный с расчетами убытков (включая упущенную выгоду) и потерь лесохозяйственного производства, если особо ценные древесные породы произрастают на землях лесного фонда и других категорий земельного фонда, за исключением случаев, указанных в пункте 29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лесоустроительное заключение, составленное с расчетами убытков (включая упущенную выгоду) и потерь лесохозяйственного производства, если особо ценные древесные породы произрастают вне территории государственного лесного фонда, за исключением случаев, указанных в пункте 29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представления заявителем документов, не соответствующих пунктам 4 и 5 настоящих Правил, заявление не регистрируется, о чем в течение 3 рабочих дней секретарем комиссии направляется уведомление по контактным данным (телефон, факс, электронная почта), указанным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вправе доукомплектовать недостающие документы и подать заявление о допуске к рубке особо ценных древесных пород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указанные в пунктах 4 и 5 настоящих Правил, могут представляться на государственном 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подлинного экземпляра заключения на допуск к рубке особо ценных древесных пород по заявлению заявителя уполномоченным государственным органом выдается заверенная копия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выдаче копии заключения рассматривается в течение 5 рабочих дней со дня регистрации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Копия заключения на допуск к рубке выдается на основании имеющихся у уполномоченного государственного органа документов, в пределах срока действия, указанного в оригинале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заключения на допуск рубки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заявления заявителей о допуске к рубке особо ценных древесных пород решением уполномоченного государственного органа создается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членов комиссии должно быть нечетным и составлять не менее 7 (семь), но не более 11 (одиннадцать)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входят специалисты, курирующие вопросы природоохранной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реализующего государственную политику и осуществляющего управление в сфере автомобильного, железнодорожного, воздушного, электрического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функции по разработке и реализации государственной политики в области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функции в сфере архитектуры, строительства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государственный надзор и контроль по вопросам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обеспечивающего функции по реализации государственной политики в области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по проектно-изыскательским землеустроительным и земельно-кадастровым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высшего государственного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местного самоуправления по местонахождению земельного участка, на территории которого, произрастают особо ценные древесные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независимой общественной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 постоянной основе является заместитель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является руководитель подведомственного подразделения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комиссии без права голоса является представитель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Регламент работы комиссии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заседает в течение 14 календарных дней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с решением комиссии подписывается всеми участвующими в заседаниях членами комиссии и направляется руководителю уполномоченного государственного органа в течение 2 (два) рабочих дней со дня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положительном решении комиссии, в течение 14 календарных дней со дня поступления протокола заседания комиссии уполномоченный государственный орган выдает заявителю заключение на допуск к рубке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на допуск к рубке особо ценных древесных пород оформляется в двух экземплярах. Один экземпляр выдается заявителю, второй экземпляр хранится вместе со всеми материалами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заключения на допуск к рубке особо ценных древесных пород составляет 1 год и исчисляется со дня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заключение на допуск к рубке особо ценных древесных пород не было использовано в указанные сроки, оно является недействительным.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Рубка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Рубка особо ценных древесных пород, связанная с расчисткой лесных площадей при производстве строительных и взрывных работ, прокладке кабеля, трубопроводов, транспортных магистралей и иных коммуникаций, проведении научных исследований, геологическом изучении и промышленном освоении недр, осуществляется в виде полос или массивов путем сплошной вырубки леса, в соответствии с правилами рубки леса в Кыргызской Республике, утверждаемыми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Подготовительные работы и рубка особо ценных древесных пород осуществляется заявителем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началом рубки проводятся подготовительные работы, связанные с анализом территории, установлением объема работ и выявлением границы территории, на которой будет проводиться рубка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Отвод рубки производится с определением границ территории и нумерацией всех деревьев, назначенных для рубки. Затески для написания номеров производятся на высоте груди (1,3 м) и у пня.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завершения работ по рубке особо ценных древесных пород проводится осмотр и оценка состояния лесосеки, на которой закончена рубка лесных насаждений, уполномоченным государственным органом для подтверждения соответствия произведенной рубки выданному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Получаемая древесина и порубочные остатки после проведения рубки особо ценных древесных пород используются по усмотрению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Обязательному сжиганию подлежат порубочные остатки при обнаружении вредных организмов на лесосеке, где они могут оказаться источником распространения инфекции или средой для ее сохранения и заселения вторичными вредными организмами.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случаях возникновения массовых очагов вредителей и болезней леса рубка особо ценных древесных пород производится в соответствии с заключением высшего государственного научного учреждения, которое выдается в срок до 1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рубке особо ценных древесных пород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повреждение лесных насаждений, растительного покрова и почв за пределами предоставленного лесного участка и соответствующей охранной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захламление территории за пределами предоставленного лесного участка строительным и бытовым мусором, отходами древесины, иными видами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загрязнение лесосеки и территории за ее пределами химическими и радиоактивными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проезд транспортных средств и иных механизмов по произвольным, неустановленным дорогам за пределами предоставленного лесного участка в местах произрастания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рубке леса, транспортировании, трелевке, складировании деревьев, хлыстов, сортиментов заявитель, осуществляющий рубку леса, должен соблюдать принцип максимального сохранения лесных насаждений вне лесосеки.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Рубка особо ценных древесных пород допускается после осуществления в установленном порядке выплаты возмещения убытков (включая упущенную выгоду) и потерь лесохозяйственного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стоимостной оценки лесных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 возмещения убытков (включая упущенную выгоду) и потерь лесохозяйственного производства при рубке особо ценных древесных пород на лесных землях осуществляется в соответствии с </w:t>
      </w:r>
      <w:hyperlink w:history="1" r:id="rIdswm_q9bv6fbm96ymxz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qjnxpr6kxvxzodwi4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Отдельные деревья и группы деревьев особо ценных древесных пород, произрастающие на землях лесного фонда и других категориях земельного фонда, отпускаются на корню согласно </w:t>
      </w:r>
      <w:hyperlink w:history="1" r:id="rIdjk1xdh8jwfyxaiziju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b82ip7xiubshqzti-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граждан и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Юридические и физические лица имеют право на обжалование решения уполномоченного государственного органа и могут обратиться с жалобой о нарушениях настоящих Правил,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юридических и физических лиц, допустивших нарушение требований настоящих Правил, в том числе за повреждение и рубку не отведенных под рубку особо ценных древесных пород, рассматривается в порядке, установленными уголовным законодательством и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gti7jhjvqd9eiuveo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dalil.kg/document/12918</w:t>
      </w:r>
    </w:hyperlink>
  </w:p>
  <w:p>
    <w:pPr>
      <w:spacing w:after="0" w:before="40"/>
      <w:jc w:val="center"/>
    </w:pPr>
    <w:hyperlink w:history="1" r:id="rIdvaffdzmi3gvmygqhqt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m_q9bv6fbm96ymxzpdt" Type="http://schemas.openxmlformats.org/officeDocument/2006/relationships/hyperlink" Target="https://dalil.kg/document/94655" TargetMode="External"/><Relationship Id="rIdvqjnxpr6kxvxzodwi4rix" Type="http://schemas.openxmlformats.org/officeDocument/2006/relationships/hyperlink" Target="https://dalil.kg/document/94658" TargetMode="External"/><Relationship Id="rIdjk1xdh8jwfyxaizijubje" Type="http://schemas.openxmlformats.org/officeDocument/2006/relationships/hyperlink" Target="https://dalil.kg/document/70050" TargetMode="External"/><Relationship Id="rIdub82ip7xiubshqzti-w-h" Type="http://schemas.openxmlformats.org/officeDocument/2006/relationships/hyperlink" Target="https://dalil.kg/document/800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gti7jhjvqd9eiuveob4" Type="http://schemas.openxmlformats.org/officeDocument/2006/relationships/hyperlink" Target="https://dalil.kg/document/12918" TargetMode="External"/><Relationship Id="rIdvaffdzmi3gvmygqhqth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2026-10-02T02:41:05.161Z</dcterms:created>
  <dcterms:modified xsi:type="dcterms:W3CDTF">2026-10-02T02:41:05.161Z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