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itk_it1zjnfa7pkptvtu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28 января 2019 года № 24)</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квалифицированных инвесторах и ценных бумагах, предназначенных для приобретения только квалифицированными инвесторами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Положение о квалифицированных инвесторах и ценных бумагах, предназначенных для приобретения только квалифицированными инвесторами (далее - Положение) устанавливает требования, которым должны соответствовать лица, признаваемые квалифицированными инвесторами на рынке ценных бумаг, а также ограничения на обращение инвестиционных активов, предназначенных только для квалифицированных инвесторов.</w:t>
      </w:r>
    </w:p>
    <w:p>
      <w:pPr>
        <w:spacing w:after="60"/>
        <w:ind w:firstLine="567"/>
        <w:jc w:val="both"/>
      </w:pPr>
      <w:r>
        <w:rPr>
          <w:rFonts w:ascii="Arial" w:cs="Arial" w:eastAsia="Arial" w:hAnsi="Arial"/>
          <w:sz w:val="24"/>
          <w:szCs w:val="24"/>
        </w:rPr>
        <w:t xml:space="preserve">2. Присвоение статуса квалифицированного инвестора в соответствии с настоящим Положением не дает лицу, получившему такой статус, никаких преимуществ по сравнению с иными инвесторами и означает признание за ним всех необходимых знаний и компетенций, наличие которых позволяет ему осознанно и с учетом возможных рисков инвестировать свои средства в ценные бумаги, выпускаемые для приобретения только квалифицированными инвесторами.</w:t>
      </w:r>
    </w:p>
    <w:p>
      <w:pPr>
        <w:spacing w:after="200" w:before="200"/>
        <w:jc w:val="center"/>
      </w:pPr>
      <w:r>
        <w:rPr>
          <w:rFonts w:ascii="Arial" w:cs="Arial" w:eastAsia="Arial" w:hAnsi="Arial"/>
          <w:b/>
          <w:bCs/>
          <w:sz w:val="24"/>
          <w:szCs w:val="24"/>
        </w:rPr>
        <w:t xml:space="preserve">Глава 2. Порядок признания квалифицированным инвестором</w:t>
      </w:r>
    </w:p>
    <w:p>
      <w:pPr>
        <w:spacing w:after="60"/>
        <w:ind w:firstLine="567"/>
        <w:jc w:val="both"/>
      </w:pPr>
      <w:r>
        <w:rPr>
          <w:rFonts w:ascii="Arial" w:cs="Arial" w:eastAsia="Arial" w:hAnsi="Arial"/>
          <w:sz w:val="24"/>
          <w:szCs w:val="24"/>
        </w:rPr>
        <w:t xml:space="preserve">3. Признание лица-нерезидента квалифицированным инвестором на рынке ценных бумаг осуществляется профессиональными участниками рынка ценных бумаг при установлении отношений с инвестором, а также при совершении в интересах инвестора, являющегося клиентом профессионального участника рынка ценных бумаг на дату вступления в силу настоящего Положения, сделки с инвестиционными активами, предназначенными только для квалифицированных инвесторов.</w:t>
      </w:r>
    </w:p>
    <w:p>
      <w:pPr>
        <w:spacing w:after="60"/>
        <w:ind w:firstLine="567"/>
        <w:jc w:val="both"/>
      </w:pPr>
      <w:r>
        <w:rPr>
          <w:rFonts w:ascii="Arial" w:cs="Arial" w:eastAsia="Arial" w:hAnsi="Arial"/>
          <w:sz w:val="24"/>
          <w:szCs w:val="24"/>
        </w:rPr>
        <w:t xml:space="preserve">4. Для определения, является ли лицо нерезидентом, профессиональный участник рынка ценных бумаг использует сведения, полученные в ходе идентификации клиента, в порядке исполнения обязанностей по идентификации контрагентов и/или клиентов на основании </w:t>
      </w:r>
      <w:hyperlink w:history="1" r:id="rIdn8xylookgzcylutmt4z5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Признание лица-нерезидента квалифицированным инвестором фиксируется профессиональным участником рынка ценных бумаг в виде решения о признании квалифицированным инвестором, которое сохраняется профессиональным участником рынка ценных бумаг вместе с документами и сведениями о клиенте, подлежащими хранению согласно законодательству Кыргызской Республики в сфере рынка ценных бумаг.</w:t>
      </w:r>
    </w:p>
    <w:p>
      <w:pPr>
        <w:spacing w:after="60"/>
        <w:ind w:firstLine="567"/>
        <w:jc w:val="both"/>
      </w:pPr>
      <w:r>
        <w:rPr>
          <w:rFonts w:ascii="Arial" w:cs="Arial" w:eastAsia="Arial" w:hAnsi="Arial"/>
          <w:sz w:val="24"/>
          <w:szCs w:val="24"/>
        </w:rPr>
        <w:t xml:space="preserve">6. При наличии хотя бы одного из нижеперечисленных оснований, лицу-резиденту в порядке, установленном настоящим Положением, может быть присвоен статус квалифицированного инвестора:</w:t>
      </w:r>
    </w:p>
    <w:p>
      <w:pPr>
        <w:spacing w:after="60"/>
        <w:ind w:firstLine="567"/>
        <w:jc w:val="both"/>
      </w:pPr>
      <w:r>
        <w:rPr>
          <w:rFonts w:ascii="Arial" w:cs="Arial" w:eastAsia="Arial" w:hAnsi="Arial"/>
          <w:sz w:val="24"/>
          <w:szCs w:val="24"/>
        </w:rPr>
        <w:t xml:space="preserve">- наличие лицензии уполномоченного государственного органа Кыргызской Республики на любой вид деятельности в сфере банковской деятельности, рынка ценных бумаг, либо деятельности в сфере страхования;</w:t>
      </w:r>
    </w:p>
    <w:p>
      <w:pPr>
        <w:spacing w:after="60"/>
        <w:ind w:firstLine="567"/>
        <w:jc w:val="both"/>
      </w:pPr>
      <w:r>
        <w:rPr>
          <w:rFonts w:ascii="Arial" w:cs="Arial" w:eastAsia="Arial" w:hAnsi="Arial"/>
          <w:sz w:val="24"/>
          <w:szCs w:val="24"/>
        </w:rPr>
        <w:t xml:space="preserve">- наличие высшего экономического образования у физического лица, подтвержденного аттестатом установленного образца, и опыта работы в сферах банковской деятельности, рынка ценных бумаг, либо деятельности в сфере страхования не менее 5 лет;</w:t>
      </w:r>
    </w:p>
    <w:p>
      <w:pPr>
        <w:spacing w:after="60"/>
        <w:ind w:firstLine="567"/>
        <w:jc w:val="both"/>
      </w:pPr>
      <w:r>
        <w:rPr>
          <w:rFonts w:ascii="Arial" w:cs="Arial" w:eastAsia="Arial" w:hAnsi="Arial"/>
          <w:sz w:val="24"/>
          <w:szCs w:val="24"/>
        </w:rPr>
        <w:t xml:space="preserve">- общая рыночная или балансовая стоимость ценных бумаг, которыми владеет это лицо, составляет не менее 30000 минимальных расчетных показателей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общая рыночная или балансовая стоимость ценных бумаг, предназначенных для приобретения только квалифицированным инвестором, которыми владеет это лицо, составляет не менее 10000 минимальных расчетных показателей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лицо подписало Согласие с инвестиционной декларацией эмитента, выпускающего ценные бумаги, предназначенные для приобретения только квалифицированными инвесторами (</w:t>
      </w:r>
      <w:hyperlink w:history="1" r:id="rIdevyaa37fmimuf8trslaew">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настоящему Положению), при этом размер средств, который будет вложен данным лицом в приобретение таких ценных бумаг, должен составлять не менее 10000 минимальных расчетных показателей;</w:t>
      </w:r>
    </w:p>
    <w:p>
      <w:pPr>
        <w:spacing w:after="60"/>
        <w:ind w:firstLine="567"/>
        <w:jc w:val="both"/>
      </w:pPr>
      <w:r>
        <w:rPr>
          <w:rFonts w:ascii="Arial" w:cs="Arial" w:eastAsia="Arial" w:hAnsi="Arial"/>
          <w:sz w:val="24"/>
          <w:szCs w:val="24"/>
        </w:rPr>
        <w:t xml:space="preserve">- лицо в течение последних и подряд идущих 12-ти месяцев совершило не менее 10-ти сделок с ценными бумагами, при этом общая сумма таких сделок составила не менее 30000 минимальных расчетных показателей, что должно быть подтверждено лицом, зарегистрировавшим такие сделки в установленном порядке, либо брокером, через которого такие сделки осуществлялись.</w:t>
      </w:r>
    </w:p>
    <w:p>
      <w:pPr>
        <w:spacing w:after="60"/>
        <w:ind w:firstLine="567"/>
        <w:jc w:val="both"/>
      </w:pPr>
      <w:r>
        <w:rPr>
          <w:rFonts w:ascii="Arial" w:cs="Arial" w:eastAsia="Arial" w:hAnsi="Arial"/>
          <w:sz w:val="24"/>
          <w:szCs w:val="24"/>
        </w:rPr>
        <w:t xml:space="preserve">7. Для определения разового объема денежных средств, передаваемого институциональным или индивидуальным инвестором профессиональному участнику рынка ценных бумаг для совершения сделок, учитывается любая передача денежных средств соответствующего разового объема, осуществленная с момента вступления в силу настоящего Положения.</w:t>
      </w:r>
    </w:p>
    <w:p>
      <w:pPr>
        <w:spacing w:after="60"/>
        <w:ind w:firstLine="567"/>
        <w:jc w:val="both"/>
      </w:pPr>
      <w:r>
        <w:rPr>
          <w:rFonts w:ascii="Arial" w:cs="Arial" w:eastAsia="Arial" w:hAnsi="Arial"/>
          <w:sz w:val="24"/>
          <w:szCs w:val="24"/>
        </w:rPr>
        <w:t xml:space="preserve">8. Признание квалифицированным инвестором действует в течение двух лет со дня принятия профессиональным участником рынка ценных бумаг решения о признании квалифицированным инвестором.</w:t>
      </w:r>
    </w:p>
    <w:p>
      <w:pPr>
        <w:spacing w:after="200" w:before="200"/>
        <w:jc w:val="center"/>
      </w:pPr>
      <w:r>
        <w:rPr>
          <w:rFonts w:ascii="Arial" w:cs="Arial" w:eastAsia="Arial" w:hAnsi="Arial"/>
          <w:b/>
          <w:bCs/>
          <w:sz w:val="24"/>
          <w:szCs w:val="24"/>
        </w:rPr>
        <w:t xml:space="preserve">Глава 3. Ограничения на обращение ценных бумаг, предназначенных для квалифицированных инвесторов</w:t>
      </w:r>
    </w:p>
    <w:p>
      <w:pPr>
        <w:spacing w:after="60"/>
        <w:ind w:firstLine="567"/>
        <w:jc w:val="both"/>
      </w:pPr>
      <w:r>
        <w:rPr>
          <w:rFonts w:ascii="Arial" w:cs="Arial" w:eastAsia="Arial" w:hAnsi="Arial"/>
          <w:sz w:val="24"/>
          <w:szCs w:val="24"/>
        </w:rPr>
        <w:t xml:space="preserve">9. Если нормативным правовым актом Кыргызской Республики, решением о выпуске, условиями публичного предложения или проспектом выпуска ценной бумаги предусмотрено, что ценная бумага предназначена только для квалифицированных инвесторов, профессиональные участники рынка ценных бумаг обязаны обеспечить возможность приобретения такой ценной бумаги исключительно квалифицированными инвесторами.</w:t>
      </w:r>
    </w:p>
    <w:p>
      <w:pPr>
        <w:spacing w:after="60"/>
        <w:ind w:firstLine="567"/>
        <w:jc w:val="both"/>
      </w:pPr>
      <w:r>
        <w:rPr>
          <w:rFonts w:ascii="Arial" w:cs="Arial" w:eastAsia="Arial" w:hAnsi="Arial"/>
          <w:sz w:val="24"/>
          <w:szCs w:val="24"/>
        </w:rPr>
        <w:t xml:space="preserve">10. Профессиональный участник рынка ценных бумаг несет ответственность перед инвестором, не являющимся квалифицированным инвестором, за убытки, возникшие у инвестора в результате снижения рыночной стоимости ценной бумаги, предназначенной для квалифицированных инвесторов, приобретенной профессиональным участником рынка ценных бумаг в интересах инвестора, не являющегося квалифицированным инвестором.</w:t>
      </w:r>
    </w:p>
    <w:p>
      <w:pPr>
        <w:spacing w:after="60"/>
        <w:ind w:firstLine="567"/>
        <w:jc w:val="both"/>
      </w:pPr>
      <w:r>
        <w:rPr>
          <w:rFonts w:ascii="Arial" w:cs="Arial" w:eastAsia="Arial" w:hAnsi="Arial"/>
          <w:sz w:val="24"/>
          <w:szCs w:val="24"/>
        </w:rPr>
        <w:t xml:space="preserve">Ответственность, предусмотренная настоящим пунктом, не возникает, если профессиональный участник рынка ценных бумаг признал инвестора квалифицированным на основании ложных сведений, сообщенных о себе инвестором или действующим в его интересах другим профессиональным участником рынка ценных бумаг.</w:t>
      </w:r>
    </w:p>
    <w:p>
      <w:pPr>
        <w:spacing w:after="60"/>
        <w:ind w:firstLine="567"/>
        <w:jc w:val="both"/>
      </w:pPr>
      <w:r>
        <w:rPr>
          <w:rFonts w:ascii="Arial" w:cs="Arial" w:eastAsia="Arial" w:hAnsi="Arial"/>
          <w:sz w:val="24"/>
          <w:szCs w:val="24"/>
        </w:rPr>
        <w:t xml:space="preserve">11. В случае, если инвестор не является квалифицированным инвестором, либо утратил статус квалифицированного инвестора, профессиональный участник рынка ценных бумаг вправе проводить для такого инвестора с принадлежащими инвестору (или находящимися в доверительном управлении в его пользу) ценными бумагами, предназначенными для квалифицированных инвесторов, только операции по их отчуждению или погашению.</w:t>
      </w:r>
    </w:p>
    <w:p>
      <w:pPr>
        <w:spacing w:after="60"/>
        <w:ind w:firstLine="567"/>
        <w:jc w:val="both"/>
      </w:pPr>
      <w:r>
        <w:rPr>
          <w:rFonts w:ascii="Arial" w:cs="Arial" w:eastAsia="Arial" w:hAnsi="Arial"/>
          <w:sz w:val="24"/>
          <w:szCs w:val="24"/>
        </w:rPr>
        <w:t xml:space="preserve">12. Принятие в наследство ценных бумаг, предназначенных для квалифицированных инвесторов, а также их приобретение в результате раздела совместно нажитого имущества при разводе супругов, в результате распределения имущества ликвидируемой организации и при оставлении у себя предмета залога в ходе обращения взыскания на предмет залога, не ограничивается.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квалифицированных инвесторах и ценных бумагах, предназначенных для приобретения только квалифицированными инвесторами</w:t>
      </w:r>
    </w:p>
    <w:p>
      <w:pPr>
        <w:spacing w:after="400" w:before="400"/>
        <w:jc w:val="center"/>
      </w:pPr>
      <w:r>
        <w:rPr>
          <w:rFonts w:ascii="Arial" w:cs="Arial" w:eastAsia="Arial" w:hAnsi="Arial"/>
          <w:b/>
          <w:bCs/>
          <w:sz w:val="32"/>
          <w:szCs w:val="32"/>
        </w:rPr>
        <w:t xml:space="preserve">СОГЛАСИЕ</w:t>
      </w:r>
      <w:r>
        <w:rPr>
          <w:rFonts w:ascii="Arial" w:cs="Arial" w:eastAsia="Arial" w:hAnsi="Arial"/>
          <w:b/>
          <w:bCs/>
          <w:sz w:val="32"/>
          <w:szCs w:val="32"/>
        </w:rPr>
        <w:t xml:space="preserve">
 с инвестиционной декларацией эмитента, выпускающего ценные бумаги, предназначенные для приобретения только квалифицированными инвесторами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юридического лица/ФИО физического лица)</w:t>
      </w:r>
    </w:p>
    <w:p>
      <w:pPr>
        <w:spacing w:after="60"/>
        <w:ind w:firstLine="567"/>
        <w:jc w:val="left"/>
      </w:pPr>
      <w:r>
        <w:rPr>
          <w:rFonts w:ascii="Arial" w:cs="Arial" w:eastAsia="Arial" w:hAnsi="Arial"/>
          <w:sz w:val="24"/>
          <w:szCs w:val="24"/>
        </w:rPr>
        <w:t xml:space="preserve">в лице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действующего на основании ______________________________________________________________________________,</w:t>
      </w:r>
    </w:p>
    <w:p>
      <w:pPr>
        <w:spacing w:after="60"/>
        <w:ind w:firstLine="567"/>
        <w:jc w:val="left"/>
      </w:pPr>
      <w:r>
        <w:rPr>
          <w:rFonts w:ascii="Arial" w:cs="Arial" w:eastAsia="Arial" w:hAnsi="Arial"/>
          <w:sz w:val="24"/>
          <w:szCs w:val="24"/>
        </w:rPr>
        <w:t xml:space="preserve">                                                                          (заполняется только юридическим лицом)</w:t>
      </w:r>
    </w:p>
    <w:p>
      <w:pPr>
        <w:spacing w:after="60"/>
        <w:ind w:firstLine="567"/>
        <w:jc w:val="left"/>
      </w:pPr>
      <w:r>
        <w:rPr>
          <w:rFonts w:ascii="Arial" w:cs="Arial" w:eastAsia="Arial" w:hAnsi="Arial"/>
          <w:sz w:val="24"/>
          <w:szCs w:val="24"/>
        </w:rPr>
        <w:t xml:space="preserve">настоящим подтверждаю, что с инвестиционной декларацией</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наименование эмитента и вид ценных бумаг)</w:t>
      </w:r>
    </w:p>
    <w:p>
      <w:pPr>
        <w:spacing w:after="60"/>
        <w:ind w:firstLine="567"/>
        <w:jc w:val="left"/>
      </w:pPr>
      <w:r>
        <w:rPr>
          <w:rFonts w:ascii="Arial" w:cs="Arial" w:eastAsia="Arial" w:hAnsi="Arial"/>
          <w:sz w:val="24"/>
          <w:szCs w:val="24"/>
        </w:rPr>
        <w:t xml:space="preserve">ознакомлен и понимаю, что инвестициям в указанные ценные бумаги сопутствуют риски, оценка которых и</w:t>
      </w:r>
    </w:p>
    <w:p>
      <w:pPr>
        <w:spacing w:after="60"/>
        <w:ind w:firstLine="567"/>
        <w:jc w:val="left"/>
      </w:pPr>
      <w:r>
        <w:rPr>
          <w:rFonts w:ascii="Arial" w:cs="Arial" w:eastAsia="Arial" w:hAnsi="Arial"/>
          <w:sz w:val="24"/>
          <w:szCs w:val="24"/>
        </w:rPr>
        <w:t xml:space="preserve">принятие которых является ответственностью нашей компании/моей.</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(зачеркивается ненужное)</w:t>
      </w:r>
    </w:p>
    <w:p>
      <w:pPr>
        <w:spacing w:after="60"/>
        <w:ind w:firstLine="567"/>
        <w:jc w:val="left"/>
      </w:pPr>
      <w:r>
        <w:rPr>
          <w:rFonts w:ascii="Arial" w:cs="Arial" w:eastAsia="Arial" w:hAnsi="Arial"/>
          <w:sz w:val="24"/>
          <w:szCs w:val="24"/>
        </w:rPr>
        <w:t xml:space="preserve">Свидетельство о государственной регистрации для юридического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(серия, дата выдачи, кем выдан)</w:t>
      </w:r>
    </w:p>
    <w:p>
      <w:pPr>
        <w:spacing w:after="60"/>
        <w:ind w:firstLine="567"/>
        <w:jc w:val="left"/>
      </w:pPr>
      <w:r>
        <w:rPr>
          <w:rFonts w:ascii="Arial" w:cs="Arial" w:eastAsia="Arial" w:hAnsi="Arial"/>
          <w:sz w:val="24"/>
          <w:szCs w:val="24"/>
        </w:rPr>
        <w:t xml:space="preserve">Паспорт для физического лица: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(серия, номер, дата выдачи, кем выдан)</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Подпись: __________________________________</w:t>
      </w:r>
    </w:p>
    <w:p>
      <w:pPr>
        <w:spacing w:after="60"/>
        <w:ind w:firstLine="567"/>
        <w:jc w:val="left"/>
      </w:pPr>
      <w:r>
        <w:rPr>
          <w:rFonts w:ascii="Arial" w:cs="Arial" w:eastAsia="Arial" w:hAnsi="Arial"/>
          <w:sz w:val="24"/>
          <w:szCs w:val="24"/>
        </w:rPr>
        <w:t xml:space="preserve">Дата: _____________________________________</w:t>
      </w:r>
    </w:p>
    <w:p>
      <w:pPr>
        <w:spacing w:after="60"/>
        <w:ind w:firstLine="567"/>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k_it1zjnfa7pkptvtus" Type="http://schemas.openxmlformats.org/officeDocument/2006/relationships/hyperlink" Target="http://kodeks.duckdns.org/document/12919" TargetMode="External"/><Relationship Id="rIdn8xylookgzcylutmt4z56" Type="http://schemas.openxmlformats.org/officeDocument/2006/relationships/hyperlink" Target="http://kodeks.duckdns.org/document/111822" TargetMode="External"/><Relationship Id="rIdevyaa37fmimuf8trslaew" Type="http://schemas.openxmlformats.org/officeDocument/2006/relationships/hyperlink" Target="http://kodeks.duckdns.org/document/12920#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2026-09-23T09:35:29.871Z</dcterms:created>
  <dcterms:modified xsi:type="dcterms:W3CDTF">2026-09-23T09:35:29.871Z</dcterms:modified>
</cp:coreProperties>
</file>

<file path=docProps/custom.xml><?xml version="1.0" encoding="utf-8"?>
<Properties xmlns="http://schemas.openxmlformats.org/officeDocument/2006/custom-properties" xmlns:vt="http://schemas.openxmlformats.org/officeDocument/2006/docPropsVTypes"/>
</file>