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p7mfmjyjpvkqxecesr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center"/>
      </w:pPr>
      <w:r>
        <w:rPr>
          <w:rFonts w:ascii="Arial" w:cs="Arial" w:eastAsia="Arial" w:hAnsi="Arial"/>
          <w:i/>
          <w:iCs/>
          <w:sz w:val="24"/>
          <w:szCs w:val="24"/>
        </w:rPr>
        <w:t xml:space="preserve">(к</w:t>
      </w:r>
      <w:hyperlink w:history="1" r:id="rIdy9oux2tcycvsi-a11cg_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25 декабря 2018 года № 606)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проведения надлежащей проверки клиента</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im9teycpgh3ahwatny4cs">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0sv4yyvynyf3g2psml78c">
        <w:r>
          <w:rPr>
            <w:rFonts w:ascii="Arial" w:cs="Arial" w:eastAsia="Arial" w:hAnsi="Arial"/>
            <w:i/>
            <w:iCs/>
            <w:color w:val="1D4ED8"/>
            <w:sz w:val="24"/>
            <w:szCs w:val="24"/>
            <w:u w:val="single"/>
          </w:rPr>
          <w:t xml:space="preserve">7 октября 2024 года № 605 </w:t>
        </w:r>
      </w:hyperlink>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 Настоящее Положение устанавливает порядок проведения надлежащей проверки клиента в целях противодействия финансированию террористической деятельности и легализации (отмыванию) преступных доходов (далее - ПФТД/ЛПД).</w:t>
      </w:r>
    </w:p>
    <w:p>
      <w:pPr>
        <w:spacing w:after="120"/>
        <w:jc w:val="both"/>
      </w:pPr>
      <w:r>
        <w:rPr>
          <w:rFonts w:ascii="Arial" w:cs="Arial" w:eastAsia="Arial" w:hAnsi="Arial"/>
          <w:sz w:val="24"/>
          <w:szCs w:val="24"/>
        </w:rPr>
        <w:t xml:space="preserve">2. В настоящем Положении применяются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(родители, усыновители, усыновленные, полнородные и неполнородные братья и сестры, дедушка, бабушка, внуки, в отношении которых публичное должностное лицо несет финансовые затраты, в части покрытия расходов на проживание, образование, здравоохранение и другие необходимые расходы);</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высокорискованные страны</w:t>
      </w:r>
      <w:r>
        <w:rPr>
          <w:rFonts w:ascii="Arial" w:cs="Arial" w:eastAsia="Arial" w:hAnsi="Arial"/>
          <w:sz w:val="24"/>
          <w:szCs w:val="24"/>
        </w:rPr>
        <w:t xml:space="preserve"> - 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а также оффшорные зоны;</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деловые отношения</w:t>
      </w:r>
      <w:r>
        <w:rPr>
          <w:rFonts w:ascii="Arial" w:cs="Arial" w:eastAsia="Arial" w:hAnsi="Arial"/>
          <w:sz w:val="24"/>
          <w:szCs w:val="24"/>
        </w:rPr>
        <w:t xml:space="preserve"> - отношения между клиентом и финансовым учреждением или клиентом и нефинансовой категорией лиц, возникшие на основе договоренности (устной или письменной) о предоставлении услуг по осуществлению операции (сделки);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подозрительная операция (сделка)</w:t>
      </w:r>
      <w:r>
        <w:rPr>
          <w:rFonts w:ascii="Arial" w:cs="Arial" w:eastAsia="Arial" w:hAnsi="Arial"/>
          <w:sz w:val="24"/>
          <w:szCs w:val="24"/>
        </w:rPr>
        <w:t xml:space="preserve"> - операция (сделка), подпадающая под следующие признаки:</w:t>
      </w:r>
    </w:p>
    <w:p>
      <w:pPr>
        <w:spacing w:after="120"/>
        <w:jc w:val="both"/>
      </w:pPr>
      <w:r>
        <w:rPr>
          <w:rFonts w:ascii="Arial" w:cs="Arial" w:eastAsia="Arial" w:hAnsi="Arial"/>
          <w:sz w:val="24"/>
          <w:szCs w:val="24"/>
        </w:rPr>
        <w:t xml:space="preserve">а) если имеются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120"/>
        <w:jc w:val="both"/>
      </w:pPr>
      <w:r>
        <w:rPr>
          <w:rFonts w:ascii="Arial" w:cs="Arial" w:eastAsia="Arial" w:hAnsi="Arial"/>
          <w:sz w:val="24"/>
          <w:szCs w:val="24"/>
        </w:rPr>
        <w:t xml:space="preserve">б) если имеются подозрение или достаточные основания подозревать, что средства связаны с финансированием:</w:t>
      </w:r>
    </w:p>
    <w:p>
      <w:pPr>
        <w:spacing w:after="120"/>
        <w:jc w:val="both"/>
      </w:pPr>
      <w:r>
        <w:rPr>
          <w:rFonts w:ascii="Arial" w:cs="Arial" w:eastAsia="Arial" w:hAnsi="Arial"/>
          <w:sz w:val="24"/>
          <w:szCs w:val="24"/>
        </w:rPr>
        <w:t xml:space="preserve">- террористов и экстремистов;</w:t>
      </w:r>
    </w:p>
    <w:p>
      <w:pPr>
        <w:spacing w:after="120"/>
        <w:jc w:val="both"/>
      </w:pPr>
      <w:r>
        <w:rPr>
          <w:rFonts w:ascii="Arial" w:cs="Arial" w:eastAsia="Arial" w:hAnsi="Arial"/>
          <w:sz w:val="24"/>
          <w:szCs w:val="24"/>
        </w:rPr>
        <w:t xml:space="preserve">- террористических и экстремистских организаций (групп);</w:t>
      </w:r>
    </w:p>
    <w:p>
      <w:pPr>
        <w:spacing w:after="120"/>
        <w:jc w:val="both"/>
      </w:pPr>
      <w:r>
        <w:rPr>
          <w:rFonts w:ascii="Arial" w:cs="Arial" w:eastAsia="Arial" w:hAnsi="Arial"/>
          <w:sz w:val="24"/>
          <w:szCs w:val="24"/>
        </w:rPr>
        <w:t xml:space="preserve">- террористической и экстремистской деятельности;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ПФТД/ЛПД;</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программа внутреннего контроля</w:t>
      </w:r>
      <w:r>
        <w:rPr>
          <w:rFonts w:ascii="Arial" w:cs="Arial" w:eastAsia="Arial" w:hAnsi="Arial"/>
          <w:sz w:val="24"/>
          <w:szCs w:val="24"/>
        </w:rPr>
        <w:t xml:space="preserve"> - внутренние меры, процедуры и системы контроля, применяемые финансовыми учреждениями и нефинансовыми категориями лиц в целях исполнения законодательства Кыргызской Республики в сфере ПФТД/ЛПД;</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публичные должностные лица</w:t>
      </w:r>
      <w:r>
        <w:rPr>
          <w:rFonts w:ascii="Arial" w:cs="Arial" w:eastAsia="Arial" w:hAnsi="Arial"/>
          <w:sz w:val="24"/>
          <w:szCs w:val="24"/>
        </w:rPr>
        <w:t xml:space="preserve"> - одно из следующих физических лиц:</w:t>
      </w:r>
    </w:p>
    <w:p>
      <w:pPr>
        <w:spacing w:after="120"/>
        <w:jc w:val="both"/>
      </w:pPr>
      <w:r>
        <w:rPr>
          <w:rFonts w:ascii="Arial" w:cs="Arial" w:eastAsia="Arial" w:hAnsi="Arial"/>
          <w:sz w:val="24"/>
          <w:szCs w:val="24"/>
        </w:rPr>
        <w:t xml:space="preserve">а) иностранное публичное должностное лицо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120"/>
        <w:jc w:val="both"/>
      </w:pPr>
      <w:r>
        <w:rPr>
          <w:rFonts w:ascii="Arial" w:cs="Arial" w:eastAsia="Arial" w:hAnsi="Arial"/>
          <w:sz w:val="24"/>
          <w:szCs w:val="24"/>
        </w:rPr>
        <w:t xml:space="preserve">б) национальное публичное должностное лицо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120"/>
        <w:jc w:val="both"/>
      </w:pPr>
      <w:r>
        <w:rPr>
          <w:rFonts w:ascii="Arial" w:cs="Arial" w:eastAsia="Arial" w:hAnsi="Arial"/>
          <w:sz w:val="24"/>
          <w:szCs w:val="24"/>
        </w:rPr>
        <w:t xml:space="preserve">в)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разовая операция (сделка)</w:t>
      </w:r>
      <w:r>
        <w:rPr>
          <w:rFonts w:ascii="Arial" w:cs="Arial" w:eastAsia="Arial" w:hAnsi="Arial"/>
          <w:sz w:val="24"/>
          <w:szCs w:val="24"/>
        </w:rPr>
        <w:t xml:space="preserve"> - операция (сделка), осуществляемая один раз при отсутствии постоянных деловых отношений (договорных отношений) между клиентом и финансовым учреждением или клиентом и нефинансовой категорией лиц;</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террористической деятельности и легализации (отмывания) преступных доходов;</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Санкционные перечни</w:t>
      </w:r>
      <w:r>
        <w:rPr>
          <w:rFonts w:ascii="Arial" w:cs="Arial" w:eastAsia="Arial" w:hAnsi="Arial"/>
          <w:sz w:val="24"/>
          <w:szCs w:val="24"/>
        </w:rPr>
        <w:t xml:space="preserve"> -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служба внутреннего контроля</w:t>
      </w:r>
      <w:r>
        <w:rPr>
          <w:rFonts w:ascii="Arial" w:cs="Arial" w:eastAsia="Arial" w:hAnsi="Arial"/>
          <w:sz w:val="24"/>
          <w:szCs w:val="24"/>
        </w:rPr>
        <w:t xml:space="preserve"> - уполномоченный сотрудник или структурное подразделение либо служба комплаенс-контроля финансового учреждения и нефинансовой категории лиц, ответственные за осуществление программ внутреннего контроля по ПФТД/ЛПД;</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средства</w:t>
      </w:r>
      <w:r>
        <w:rPr>
          <w:rFonts w:ascii="Arial" w:cs="Arial" w:eastAsia="Arial" w:hAnsi="Arial"/>
          <w:sz w:val="24"/>
          <w:szCs w:val="24"/>
        </w:rPr>
        <w:t xml:space="preserve"> - одно из следующих активов:</w:t>
      </w:r>
    </w:p>
    <w:p>
      <w:pPr>
        <w:spacing w:after="120"/>
        <w:jc w:val="both"/>
      </w:pPr>
      <w:r>
        <w:rPr>
          <w:rFonts w:ascii="Arial" w:cs="Arial" w:eastAsia="Arial" w:hAnsi="Arial"/>
          <w:sz w:val="24"/>
          <w:szCs w:val="24"/>
        </w:rPr>
        <w:t xml:space="preserve">а) денежные средства и любые финансовые активы;</w:t>
      </w:r>
    </w:p>
    <w:p>
      <w:pPr>
        <w:spacing w:after="120"/>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120"/>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120"/>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120"/>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счета</w:t>
      </w:r>
      <w:r>
        <w:rPr>
          <w:rFonts w:ascii="Arial" w:cs="Arial" w:eastAsia="Arial" w:hAnsi="Arial"/>
          <w:sz w:val="24"/>
          <w:szCs w:val="24"/>
        </w:rPr>
        <w:t xml:space="preserve">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нефинансовой категорией лиц и клиентом;</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электронный денежный перевод</w:t>
      </w:r>
      <w:r>
        <w:rPr>
          <w:rFonts w:ascii="Arial" w:cs="Arial" w:eastAsia="Arial" w:hAnsi="Arial"/>
          <w:sz w:val="24"/>
          <w:szCs w:val="24"/>
        </w:rPr>
        <w:t xml:space="preserve"> - операция по переводу денежных средств (наличных, безналичных, электронных денег) от отправителя к получателю денежного перевода, осуществляемая с использованием платежных систем;</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финансовая группа</w:t>
      </w:r>
      <w:r>
        <w:rPr>
          <w:rFonts w:ascii="Arial" w:cs="Arial" w:eastAsia="Arial" w:hAnsi="Arial"/>
          <w:sz w:val="24"/>
          <w:szCs w:val="24"/>
        </w:rPr>
        <w:t xml:space="preserve"> - группа из нескольких юридических лиц различного типа, объединившая свои финансовые ресурсы в общих целях и интересах, которая осуществляет функции контроля (надзора) и координации в отношении членов данной группы;</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w:t>
      </w:r>
      <w:hyperlink w:history="1" r:id="rIdlioisipqczxqkciazoibx">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и дети, в том числе усыновленные.</w:t>
      </w:r>
    </w:p>
    <w:p>
      <w:pPr>
        <w:spacing w:after="120"/>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vbjb-4gdz4kmd4nnj48y">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Случаи проведения надлежащей проверки клиента</w:t>
      </w:r>
    </w:p>
    <w:p>
      <w:pPr>
        <w:spacing w:after="120"/>
        <w:jc w:val="both"/>
      </w:pPr>
      <w:r>
        <w:rPr>
          <w:rFonts w:ascii="Arial" w:cs="Arial" w:eastAsia="Arial" w:hAnsi="Arial"/>
          <w:sz w:val="24"/>
          <w:szCs w:val="24"/>
        </w:rPr>
        <w:t xml:space="preserve">3. Финансовые учреждения и определенные категории лиц проводят надлежащую проверку клиента в любом из следующих случаев:</w:t>
      </w:r>
    </w:p>
    <w:p>
      <w:pPr>
        <w:spacing w:after="120"/>
        <w:jc w:val="both"/>
      </w:pPr>
      <w:r>
        <w:rPr>
          <w:rFonts w:ascii="Arial" w:cs="Arial" w:eastAsia="Arial" w:hAnsi="Arial"/>
          <w:sz w:val="24"/>
          <w:szCs w:val="24"/>
        </w:rPr>
        <w:t xml:space="preserve">1) при установлении деловых отношений;</w:t>
      </w:r>
    </w:p>
    <w:p>
      <w:pPr>
        <w:spacing w:after="120"/>
        <w:jc w:val="both"/>
      </w:pPr>
      <w:r>
        <w:rPr>
          <w:rFonts w:ascii="Arial" w:cs="Arial" w:eastAsia="Arial" w:hAnsi="Arial"/>
          <w:sz w:val="24"/>
          <w:szCs w:val="24"/>
        </w:rPr>
        <w:t xml:space="preserve">2) при совершении разовой операции (сделки) или нескольких взаимосвязанных разовых операций (сделок) на сумму, равную или превышающую 1000000 сомов или эквивалента в иностранной валюте, за исключением случаев, предусмотренных пунктами 5, 6 и 7 настоящего Положения;</w:t>
      </w:r>
    </w:p>
    <w:p>
      <w:pPr>
        <w:spacing w:after="120"/>
        <w:jc w:val="both"/>
      </w:pPr>
      <w:r>
        <w:rPr>
          <w:rFonts w:ascii="Arial" w:cs="Arial" w:eastAsia="Arial" w:hAnsi="Arial"/>
          <w:sz w:val="24"/>
          <w:szCs w:val="24"/>
        </w:rPr>
        <w:t xml:space="preserve">3) при совершении разового электронного денежного перевода или осуществлении операции (сделки) с виртуальными активами на сумму, равную или превышающую 100000 сомов или эквивалента в иностранной валюте;</w:t>
      </w:r>
    </w:p>
    <w:p>
      <w:pPr>
        <w:spacing w:after="120"/>
        <w:jc w:val="both"/>
      </w:pPr>
      <w:r>
        <w:rPr>
          <w:rFonts w:ascii="Arial" w:cs="Arial" w:eastAsia="Arial" w:hAnsi="Arial"/>
          <w:sz w:val="24"/>
          <w:szCs w:val="24"/>
        </w:rPr>
        <w:t xml:space="preserve">4) при наличии подозрения в осуществлении финансирования террористической деятельности и легализации (отмывания) преступных доходов, независимо от статуса клиента (постоянный или разовый) или любых исключений либо независимо от пороговой суммы операции (сделки);</w:t>
      </w:r>
    </w:p>
    <w:p>
      <w:pPr>
        <w:spacing w:after="120"/>
        <w:jc w:val="both"/>
      </w:pPr>
      <w:r>
        <w:rPr>
          <w:rFonts w:ascii="Arial" w:cs="Arial" w:eastAsia="Arial" w:hAnsi="Arial"/>
          <w:sz w:val="24"/>
          <w:szCs w:val="24"/>
        </w:rPr>
        <w:t xml:space="preserve">5) при выявлении фактов недостоверности или недостаточности ранее полученных сведений о клиенте.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0zvh3ayabatq9knk_rd9h">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Виды разовых операций (сделок) утверждаются и публикуются органом финансовой разведки.</w:t>
      </w:r>
    </w:p>
    <w:p>
      <w:pPr>
        <w:spacing w:after="60"/>
        <w:ind w:firstLine="567"/>
        <w:jc w:val="both"/>
      </w:pPr>
      <w:r>
        <w:rPr>
          <w:rFonts w:ascii="Arial" w:cs="Arial" w:eastAsia="Arial" w:hAnsi="Arial"/>
          <w:sz w:val="24"/>
          <w:szCs w:val="24"/>
        </w:rPr>
        <w:t xml:space="preserve">5. Нефинансовые категории лиц проводят надлежащую проверку клиента в случаях, предусмотренных частью 1 </w:t>
      </w:r>
      <w:hyperlink w:history="1" r:id="rIds_igp6bo97u-upkdi0hqx">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6.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проводят надлежащую проверку клиента в следующих случаях:</w:t>
      </w:r>
    </w:p>
    <w:p>
      <w:pPr>
        <w:spacing w:after="120"/>
        <w:jc w:val="both"/>
      </w:pPr>
      <w:r>
        <w:rPr>
          <w:rFonts w:ascii="Arial" w:cs="Arial" w:eastAsia="Arial" w:hAnsi="Arial"/>
          <w:sz w:val="24"/>
          <w:szCs w:val="24"/>
        </w:rPr>
        <w:t xml:space="preserve">1) при продаже клиенту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1000000 сомов;</w:t>
      </w:r>
    </w:p>
    <w:p>
      <w:pPr>
        <w:spacing w:after="120"/>
        <w:jc w:val="both"/>
      </w:pPr>
      <w:r>
        <w:rPr>
          <w:rFonts w:ascii="Arial" w:cs="Arial" w:eastAsia="Arial" w:hAnsi="Arial"/>
          <w:sz w:val="24"/>
          <w:szCs w:val="24"/>
        </w:rPr>
        <w:t xml:space="preserve">2) при скупке от клиента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10000 сомов.</w:t>
      </w:r>
    </w:p>
    <w:p>
      <w:pPr>
        <w:spacing w:after="120"/>
        <w:ind w:firstLine="567"/>
        <w:jc w:val="both"/>
      </w:pPr>
      <w:r>
        <w:rPr>
          <w:rFonts w:ascii="Arial" w:cs="Arial" w:eastAsia="Arial" w:hAnsi="Arial"/>
          <w:sz w:val="24"/>
          <w:szCs w:val="24"/>
        </w:rPr>
        <w:t xml:space="preserve">При совершении операций (сделки) по продаже изготовленных и маркированных слитков из золота, эмитируемых (выпускаемых) Национальным банком или аффинажным предприятием, зарегистрированным в Кыргызской Республике, сертифицированным Лондонской ассоциацией рынка драгоценных металлов, на сумму, равную или превышающую 200000 сомов,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и учет совершенной операции (сделки).</w:t>
      </w:r>
    </w:p>
    <w:p>
      <w:pPr>
        <w:spacing w:after="120"/>
        <w:ind w:firstLine="567"/>
        <w:jc w:val="both"/>
      </w:pPr>
      <w:r>
        <w:rPr>
          <w:rFonts w:ascii="Arial" w:cs="Arial" w:eastAsia="Arial" w:hAnsi="Arial"/>
          <w:sz w:val="24"/>
          <w:szCs w:val="24"/>
        </w:rPr>
        <w:t xml:space="preserve">Идентификация и верификация клиента не проводится в случае совершения низкорисковой разовой операции (сделки) или нескольких взаимосвязанных низкорисковых разовых операций (сделок). Перечень низкорисковых разовых операций (сделок) определяется органом финансовой разведки.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scigxq0exwhyjpghwff1">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 </w:t>
      </w:r>
      <w:hyperlink w:history="1" r:id="rIdqadmsaoywfggzrxhacz-r">
        <w:r>
          <w:rPr>
            <w:rFonts w:ascii="Arial" w:cs="Arial" w:eastAsia="Arial" w:hAnsi="Arial"/>
            <w:color w:val="1D4ED8"/>
            <w:sz w:val="24"/>
            <w:szCs w:val="24"/>
            <w:u w:val="single"/>
          </w:rPr>
          <w:t xml:space="preserve">7 октября 2024 года № 605</w:t>
        </w:r>
      </w:hyperlink>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7. Лица, осуществляющие операции по купле-продаже (обмену) наличной национальной и/или иностранной валюты, проводят надлежащую проверку клиента при совершении разовой операции (сделки) или нескольких взаимосвязанных разовых операций (сделок) на сумму, равную или превышающую 1000000 сомов или эквивалента в иностранной валюте.</w:t>
      </w:r>
    </w:p>
    <w:p>
      <w:pPr>
        <w:spacing w:after="120"/>
        <w:jc w:val="both"/>
      </w:pPr>
      <w:r>
        <w:rPr>
          <w:rFonts w:ascii="Arial" w:cs="Arial" w:eastAsia="Arial" w:hAnsi="Arial"/>
          <w:sz w:val="24"/>
          <w:szCs w:val="24"/>
        </w:rPr>
        <w:t xml:space="preserve">При совершении разовой операции (сделки) или нескольких взаимосвязанных разовых операций (сделок) по купле-продаже (обмену) наличной национальной и/или иностранной валюты на сумму от 100000 сомов до 1000000 сомов или эквивалента в иностранной валюте,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и учет совершенной операции (сделки).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6dlrjtdd0kn5ukxgdiz8s">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 совершении разового электронного денежного перевода или перевода виртуальных активов на сумму, не превышающую сумму, установленную в подпункте 3 пункта 3 настоящего Положения, должны быть соблюдены нормы, предусмотренные </w:t>
      </w:r>
      <w:hyperlink w:history="1" r:id="rId1sd7ssuquhpxm138gvrak">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Положения. При совершении разового электронного денежного перевода или перевода виртуальных активов не заполняется анкета клиента и бенефициарного владельца.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j7elaldddwch7av9ncl7">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Меры надлежащей проверки клиента применяются к новым и действующим клиентам, с учетом ранее проведенной надлежащей проверки клиента и уровня риска клиента.</w:t>
      </w:r>
    </w:p>
    <w:p>
      <w:pPr>
        <w:spacing w:after="200" w:before="200"/>
        <w:jc w:val="center"/>
      </w:pPr>
      <w:r>
        <w:rPr>
          <w:rFonts w:ascii="Arial" w:cs="Arial" w:eastAsia="Arial" w:hAnsi="Arial"/>
          <w:b/>
          <w:bCs/>
          <w:sz w:val="32"/>
          <w:szCs w:val="32"/>
        </w:rPr>
        <w:t xml:space="preserve">Глава 3. Риск-ориентированный подход при проведении надлежащей проверки клиента</w:t>
      </w:r>
    </w:p>
    <w:p>
      <w:pPr>
        <w:spacing w:after="60"/>
        <w:ind w:firstLine="567"/>
        <w:jc w:val="both"/>
      </w:pPr>
      <w:r>
        <w:rPr>
          <w:rFonts w:ascii="Arial" w:cs="Arial" w:eastAsia="Arial" w:hAnsi="Arial"/>
          <w:sz w:val="24"/>
          <w:szCs w:val="24"/>
        </w:rPr>
        <w:t xml:space="preserve">10. Финансовые учреждения и нефинансовые категории лиц при проведении надлежащей проверки клиента применяют усиленные или упрощенные меры надлежащей проверки клиента, с использованием риск-ориентированного подхода.</w:t>
      </w:r>
    </w:p>
    <w:p>
      <w:pPr>
        <w:spacing w:after="60"/>
        <w:ind w:firstLine="567"/>
        <w:jc w:val="both"/>
      </w:pPr>
      <w:r>
        <w:rPr>
          <w:rFonts w:ascii="Arial" w:cs="Arial" w:eastAsia="Arial" w:hAnsi="Arial"/>
          <w:sz w:val="24"/>
          <w:szCs w:val="24"/>
        </w:rPr>
        <w:t xml:space="preserve">11. Финансовые учреждения и нефинансовые категории лиц обязаны классифицировать своих клиентов с учетом критериев риска (высокий и низкий). Типичные критерии высоких и низких рисков устанавливаются и публикуются органом финансовой разведки. Финансовые учреждения и определенные категории лиц могут разрабатывать и применять критерии средних рисков.</w:t>
      </w:r>
    </w:p>
    <w:p>
      <w:pPr>
        <w:spacing w:after="120"/>
        <w:jc w:val="both"/>
      </w:pPr>
      <w:r>
        <w:rPr>
          <w:rFonts w:ascii="Arial" w:cs="Arial" w:eastAsia="Arial" w:hAnsi="Arial"/>
          <w:sz w:val="24"/>
          <w:szCs w:val="24"/>
        </w:rPr>
        <w:t xml:space="preserve">12. В случае установления высокого риска, финансовые учреждения и нефинансовые категории лиц применяют следующие усиленные меры надлежащей проверки клиента:</w:t>
      </w:r>
    </w:p>
    <w:p>
      <w:pPr>
        <w:spacing w:after="120"/>
        <w:jc w:val="both"/>
      </w:pPr>
      <w:r>
        <w:rPr>
          <w:rFonts w:ascii="Arial" w:cs="Arial" w:eastAsia="Arial" w:hAnsi="Arial"/>
          <w:sz w:val="24"/>
          <w:szCs w:val="24"/>
        </w:rPr>
        <w:t xml:space="preserve">1) сбор дополнительных идентификационных сведений и документов в отношении клиента из доступных и надежных источников информации, а также использование данных сведений при оценке риска, связанного с клиентом;</w:t>
      </w:r>
    </w:p>
    <w:p>
      <w:pPr>
        <w:spacing w:after="120"/>
        <w:jc w:val="both"/>
      </w:pPr>
      <w:r>
        <w:rPr>
          <w:rFonts w:ascii="Arial" w:cs="Arial" w:eastAsia="Arial" w:hAnsi="Arial"/>
          <w:sz w:val="24"/>
          <w:szCs w:val="24"/>
        </w:rPr>
        <w:t xml:space="preserve">2) сбор дополнительной информации о клиенте и бенефициарном владельце для глубокого понимания риска возможной вовлеченности такого клиента и бенефициарного владельца в преступную деятельность;</w:t>
      </w:r>
    </w:p>
    <w:p>
      <w:pPr>
        <w:spacing w:after="120"/>
        <w:jc w:val="both"/>
      </w:pPr>
      <w:r>
        <w:rPr>
          <w:rFonts w:ascii="Arial" w:cs="Arial" w:eastAsia="Arial" w:hAnsi="Arial"/>
          <w:sz w:val="24"/>
          <w:szCs w:val="24"/>
        </w:rPr>
        <w:t xml:space="preserve">3) запрос дополнительной информации у клиента относительно цели и предполагаемого характера деловых отношений, а также источника денежных средств клиента;</w:t>
      </w:r>
    </w:p>
    <w:p>
      <w:pPr>
        <w:spacing w:after="120"/>
        <w:jc w:val="both"/>
      </w:pPr>
      <w:r>
        <w:rPr>
          <w:rFonts w:ascii="Arial" w:cs="Arial" w:eastAsia="Arial" w:hAnsi="Arial"/>
          <w:sz w:val="24"/>
          <w:szCs w:val="24"/>
        </w:rPr>
        <w:t xml:space="preserve">4) проверка источников денежных средств клиента, используемых в рамках установления деловых отношений, для того чтобы убедиться, что денежные средства не являются доходами от преступной деятельности;</w:t>
      </w:r>
    </w:p>
    <w:p>
      <w:pPr>
        <w:spacing w:after="120"/>
        <w:jc w:val="both"/>
      </w:pPr>
      <w:r>
        <w:rPr>
          <w:rFonts w:ascii="Arial" w:cs="Arial" w:eastAsia="Arial" w:hAnsi="Arial"/>
          <w:sz w:val="24"/>
          <w:szCs w:val="24"/>
        </w:rPr>
        <w:t xml:space="preserve">5) регулярное обновление идентификационных данных клиента и бенефициарного владельца с применением риск-ориентированного подхода;</w:t>
      </w:r>
    </w:p>
    <w:p>
      <w:pPr>
        <w:spacing w:after="120"/>
        <w:jc w:val="both"/>
      </w:pPr>
      <w:r>
        <w:rPr>
          <w:rFonts w:ascii="Arial" w:cs="Arial" w:eastAsia="Arial" w:hAnsi="Arial"/>
          <w:sz w:val="24"/>
          <w:szCs w:val="24"/>
        </w:rPr>
        <w:t xml:space="preserve">6) запрос у клиента дополнительной информации, разъясняющей причину или экономический смысл запланированных или проведенных операций (сделок);</w:t>
      </w:r>
    </w:p>
    <w:p>
      <w:pPr>
        <w:spacing w:after="120"/>
        <w:jc w:val="both"/>
      </w:pPr>
      <w:r>
        <w:rPr>
          <w:rFonts w:ascii="Arial" w:cs="Arial" w:eastAsia="Arial" w:hAnsi="Arial"/>
          <w:sz w:val="24"/>
          <w:szCs w:val="24"/>
        </w:rPr>
        <w:t xml:space="preserve">7) получение разрешения на установление или продолжение деловых отношений с клиентом от исполнительного органа либо от одного из членов исполнительного органа, осуществляющего руководство текущей деятельностью финансового учреждения и нефинансовой категории лиц;</w:t>
      </w:r>
    </w:p>
    <w:p>
      <w:pPr>
        <w:spacing w:after="120"/>
        <w:jc w:val="both"/>
      </w:pPr>
      <w:r>
        <w:rPr>
          <w:rFonts w:ascii="Arial" w:cs="Arial" w:eastAsia="Arial" w:hAnsi="Arial"/>
          <w:sz w:val="24"/>
          <w:szCs w:val="24"/>
        </w:rPr>
        <w:t xml:space="preserve">8) осуществление усиленного мониторинга деловых отношений путем ежедневного мониторинга операций (сделок), анализа информации, рассмотрения и учета назначения денежных средств, в том числе в ручном режиме, в целях выявления признаков подозрительных операций (сделок) и операций (сделок), не имеющих очевидного экономического смысла или очевидной законной цели, а также доведение результатов мониторинга до сведения службы внутреннего контроля и исполнительного органа, осуществляющего руководство текущей деятельностью финансового учреждения и нефинансовой категории лиц;</w:t>
      </w:r>
    </w:p>
    <w:p>
      <w:pPr>
        <w:spacing w:after="120"/>
        <w:jc w:val="both"/>
      </w:pPr>
      <w:r>
        <w:rPr>
          <w:rFonts w:ascii="Arial" w:cs="Arial" w:eastAsia="Arial" w:hAnsi="Arial"/>
          <w:sz w:val="24"/>
          <w:szCs w:val="24"/>
        </w:rPr>
        <w:t xml:space="preserve">9) предложение о проведении операции (сделки) через банковский счет, в случае если операцию (сделку) планируется провести без открытия банковского счета.</w:t>
      </w:r>
    </w:p>
    <w:p>
      <w:pPr>
        <w:spacing w:after="120"/>
        <w:jc w:val="both"/>
      </w:pPr>
      <w:r>
        <w:rPr>
          <w:rFonts w:ascii="Arial" w:cs="Arial" w:eastAsia="Arial" w:hAnsi="Arial"/>
          <w:sz w:val="24"/>
          <w:szCs w:val="24"/>
        </w:rPr>
        <w:t xml:space="preserve">При этом финансовые учреждения и нефинансовые категории лиц должны документально зафиксировать необходимость применения усиленных мер надлежащей проверки клиента для эффективного управления и (или) снижения рисков.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9_uidnzh-x4ubvour3hd">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В отношении физических или юридических лиц из высокорискованных стран применяются усиленные меры надлежащей проверки клиента, указанные в пункте 12 настоящего Положения.</w:t>
      </w:r>
    </w:p>
    <w:p>
      <w:pPr>
        <w:spacing w:after="60"/>
        <w:ind w:firstLine="567"/>
        <w:jc w:val="both"/>
      </w:pPr>
      <w:r>
        <w:rPr>
          <w:rFonts w:ascii="Arial" w:cs="Arial" w:eastAsia="Arial" w:hAnsi="Arial"/>
          <w:sz w:val="24"/>
          <w:szCs w:val="24"/>
        </w:rPr>
        <w:t xml:space="preserve">14. В случае установления низкого риска, финансовые учреждения и нефинансовые категории лиц применяют следующие упрощенные меры надлежащей проверки клиента:</w:t>
      </w:r>
    </w:p>
    <w:p>
      <w:pPr>
        <w:spacing w:after="60"/>
        <w:ind w:firstLine="567"/>
        <w:jc w:val="both"/>
      </w:pPr>
      <w:r>
        <w:rPr>
          <w:rFonts w:ascii="Arial" w:cs="Arial" w:eastAsia="Arial" w:hAnsi="Arial"/>
          <w:sz w:val="24"/>
          <w:szCs w:val="24"/>
        </w:rPr>
        <w:t xml:space="preserve">1) получение общей информации о цели и предполагаемом характере деловых отношений;</w:t>
      </w:r>
    </w:p>
    <w:p>
      <w:pPr>
        <w:spacing w:after="60"/>
        <w:ind w:firstLine="567"/>
        <w:jc w:val="both"/>
      </w:pPr>
      <w:r>
        <w:rPr>
          <w:rFonts w:ascii="Arial" w:cs="Arial" w:eastAsia="Arial" w:hAnsi="Arial"/>
          <w:sz w:val="24"/>
          <w:szCs w:val="24"/>
        </w:rPr>
        <w:t xml:space="preserve">2) верификация клиента и бенефициарного владельца после установления деловых отношений;</w:t>
      </w:r>
    </w:p>
    <w:p>
      <w:pPr>
        <w:spacing w:after="60"/>
        <w:ind w:firstLine="567"/>
        <w:jc w:val="both"/>
      </w:pPr>
      <w:r>
        <w:rPr>
          <w:rFonts w:ascii="Arial" w:cs="Arial" w:eastAsia="Arial" w:hAnsi="Arial"/>
          <w:sz w:val="24"/>
          <w:szCs w:val="24"/>
        </w:rPr>
        <w:t xml:space="preserve">3) сокращение частоты обновления идентификационных данных клиента и бенефициарного владельца;</w:t>
      </w:r>
    </w:p>
    <w:p>
      <w:pPr>
        <w:spacing w:after="60"/>
        <w:ind w:firstLine="567"/>
        <w:jc w:val="both"/>
      </w:pPr>
      <w:r>
        <w:rPr>
          <w:rFonts w:ascii="Arial" w:cs="Arial" w:eastAsia="Arial" w:hAnsi="Arial"/>
          <w:sz w:val="24"/>
          <w:szCs w:val="24"/>
        </w:rPr>
        <w:t xml:space="preserve">4) мониторинг операций (сделок) клиента в сокращенной форме, с использованием автоматизированной системы проверки операций (сделок) на основе лимита, определяемого финансовым учреждением и нефинансовой категорией лиц.</w:t>
      </w:r>
    </w:p>
    <w:p>
      <w:pPr>
        <w:spacing w:after="60"/>
        <w:ind w:firstLine="567"/>
        <w:jc w:val="both"/>
      </w:pPr>
      <w:r>
        <w:rPr>
          <w:rFonts w:ascii="Arial" w:cs="Arial" w:eastAsia="Arial" w:hAnsi="Arial"/>
          <w:sz w:val="24"/>
          <w:szCs w:val="24"/>
        </w:rPr>
        <w:t xml:space="preserve">15. Финансовые учреждения и нефинансовые категории лиц применяют упрощенные меры надлежащей проверки клиента, соразмерные низкой степени риска.</w:t>
      </w:r>
    </w:p>
    <w:p>
      <w:pPr>
        <w:spacing w:after="60"/>
        <w:ind w:firstLine="567"/>
        <w:jc w:val="both"/>
      </w:pPr>
      <w:r>
        <w:rPr>
          <w:rFonts w:ascii="Arial" w:cs="Arial" w:eastAsia="Arial" w:hAnsi="Arial"/>
          <w:sz w:val="24"/>
          <w:szCs w:val="24"/>
        </w:rPr>
        <w:t xml:space="preserve">Установление низкого риска в отношении клиента не означает, что клиент характеризуется низкой степенью риска для всех мер надлежащей проверки клиента, в частности, для постоянного мониторинга операций (сделок).</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 применяют упрощенных мер надлежащей проверки клиента при наличии подозрений в финансировании террористической деятельности и легализации (отмывания) преступных доходов.</w:t>
      </w:r>
    </w:p>
    <w:p>
      <w:pPr>
        <w:spacing w:after="200" w:before="200"/>
        <w:jc w:val="center"/>
      </w:pPr>
      <w:r>
        <w:rPr>
          <w:rFonts w:ascii="Arial" w:cs="Arial" w:eastAsia="Arial" w:hAnsi="Arial"/>
          <w:b/>
          <w:bCs/>
          <w:sz w:val="24"/>
          <w:szCs w:val="24"/>
        </w:rPr>
        <w:t xml:space="preserve">Глава 4. Идентификация и верификация клиента</w:t>
      </w:r>
    </w:p>
    <w:p>
      <w:pPr>
        <w:spacing w:after="200" w:before="200"/>
        <w:jc w:val="center"/>
      </w:pPr>
      <w:r>
        <w:rPr>
          <w:rFonts w:ascii="Arial" w:cs="Arial" w:eastAsia="Arial" w:hAnsi="Arial"/>
          <w:b/>
          <w:bCs/>
          <w:sz w:val="32"/>
          <w:szCs w:val="32"/>
        </w:rPr>
        <w:t xml:space="preserve">§ 1. Идентификация клиента</w:t>
      </w:r>
    </w:p>
    <w:p>
      <w:pPr>
        <w:spacing w:after="60"/>
        <w:ind w:firstLine="567"/>
        <w:jc w:val="both"/>
      </w:pPr>
      <w:r>
        <w:rPr>
          <w:rFonts w:ascii="Arial" w:cs="Arial" w:eastAsia="Arial" w:hAnsi="Arial"/>
          <w:sz w:val="24"/>
          <w:szCs w:val="24"/>
        </w:rPr>
        <w:t xml:space="preserve">16. Финансовые учреждения и нефинансовые категории лиц обязаны идентифицировать клиента (постоянного или разового).</w:t>
      </w:r>
    </w:p>
    <w:p>
      <w:pPr>
        <w:spacing w:after="60"/>
        <w:ind w:firstLine="567"/>
        <w:jc w:val="both"/>
      </w:pPr>
      <w:r>
        <w:rPr>
          <w:rFonts w:ascii="Arial" w:cs="Arial" w:eastAsia="Arial" w:hAnsi="Arial"/>
          <w:sz w:val="24"/>
          <w:szCs w:val="24"/>
        </w:rPr>
        <w:t xml:space="preserve">Идентификация клиента производится путем заполнения анкеты клиента - физического лица или анкеты клиента - юридического лица по формам согласно приложениям </w:t>
      </w:r>
      <w:hyperlink w:history="1" r:id="rIdejdqm_qz6qfwrjhahehw7">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fceutmu8amhmyxn1bqlrh">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В случае если от имени или по поручению клиента выступает доверенное лицо, финансовые учреждения и нефинансовые категории лиц обязаны идентифицировать это лицо.</w:t>
      </w:r>
    </w:p>
    <w:p>
      <w:pPr>
        <w:spacing w:after="60"/>
        <w:ind w:firstLine="567"/>
        <w:jc w:val="both"/>
      </w:pPr>
      <w:r>
        <w:rPr>
          <w:rFonts w:ascii="Arial" w:cs="Arial" w:eastAsia="Arial" w:hAnsi="Arial"/>
          <w:sz w:val="24"/>
          <w:szCs w:val="24"/>
        </w:rPr>
        <w:t xml:space="preserve">18. При проведении идентификации клиента, финансовые учреждения и нефинансовые категории лиц устанавливают цель и предполагаемый характер деловых отношений с клиентом.</w:t>
      </w:r>
    </w:p>
    <w:p>
      <w:pPr>
        <w:spacing w:after="60"/>
        <w:ind w:firstLine="567"/>
        <w:jc w:val="both"/>
      </w:pPr>
      <w:r>
        <w:rPr>
          <w:rFonts w:ascii="Arial" w:cs="Arial" w:eastAsia="Arial" w:hAnsi="Arial"/>
          <w:sz w:val="24"/>
          <w:szCs w:val="24"/>
        </w:rPr>
        <w:t xml:space="preserve">19. Держатель электронного кошелька или владелец банковского счета, открываемого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или коммерческого банка, действующего на территории Кыргызской Республики, подлежит удаленной идентификации в соответствии с нормативными правовыми актами Национального банка Кыргызской Республики в сфере регулирования электронных денег или банковских счетов.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wkodkuxvnxu8iv3egkho">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Идентификация клиента, устанавливающего деловые отношения и осуществляющего операции (сделки) удаленным (дистанционным) способом, проводится в порядке, установленном в приложении 5 к настоящему Положению.</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dq0qwnwouseoxmgqurzso">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bmlly5dzo0ga9_qydcmud">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 2. Верификация клиента</w:t>
      </w:r>
    </w:p>
    <w:p>
      <w:pPr>
        <w:spacing w:after="60"/>
        <w:ind w:firstLine="567"/>
        <w:jc w:val="both"/>
      </w:pPr>
      <w:r>
        <w:rPr>
          <w:rFonts w:ascii="Arial" w:cs="Arial" w:eastAsia="Arial" w:hAnsi="Arial"/>
          <w:sz w:val="24"/>
          <w:szCs w:val="24"/>
        </w:rPr>
        <w:t xml:space="preserve">21. Финансовые учреждения и нефинансовые категории лиц обязаны верифицировать клиента путем проверки достоверности сведений, предусмотренных в анкете клиента - физического или анкете клиента - юридического лица, с использованием информации и документов, полученных из достоверных источников.</w:t>
      </w:r>
    </w:p>
    <w:p>
      <w:pPr>
        <w:spacing w:after="60"/>
        <w:ind w:firstLine="567"/>
        <w:jc w:val="both"/>
      </w:pPr>
      <w:r>
        <w:rPr>
          <w:rFonts w:ascii="Arial" w:cs="Arial" w:eastAsia="Arial" w:hAnsi="Arial"/>
          <w:sz w:val="24"/>
          <w:szCs w:val="24"/>
        </w:rPr>
        <w:t xml:space="preserve">22. Финансовые учреждения и определенные категории лиц обязаны верифицировать клиента до или в ходе установления деловых отношений с клиентом или проведения клиентом разовых операций (сделок), в зависимости от уровня риска клиента.</w:t>
      </w:r>
    </w:p>
    <w:p>
      <w:pPr>
        <w:spacing w:after="60"/>
        <w:ind w:firstLine="567"/>
        <w:jc w:val="both"/>
      </w:pPr>
      <w:r>
        <w:rPr>
          <w:rFonts w:ascii="Arial" w:cs="Arial" w:eastAsia="Arial" w:hAnsi="Arial"/>
          <w:sz w:val="24"/>
          <w:szCs w:val="24"/>
        </w:rPr>
        <w:t xml:space="preserve">23. При проведении операции (сделки), осуществляемой без присутствия сторон или с ценными бумагами, финансовые учреждения и нефинансовые категории лиц завершают верификацию клиента в течение 10 календарных дней после установления деловых отношений, если риски являются низкими. В данных случаях финансовые учреждения или нефинансовые категории лиц должны до завершения верификации клиента применить внутренние процедуры управления рисками, включающие меры по ограничению количества, видов и (или) сумм операций (сделок), а также мониторингу крупных и сложных операций (сделок).</w:t>
      </w:r>
    </w:p>
    <w:p>
      <w:pPr>
        <w:spacing w:after="60"/>
        <w:ind w:firstLine="567"/>
        <w:jc w:val="both"/>
      </w:pPr>
      <w:r>
        <w:rPr>
          <w:rFonts w:ascii="Arial" w:cs="Arial" w:eastAsia="Arial" w:hAnsi="Arial"/>
          <w:sz w:val="24"/>
          <w:szCs w:val="24"/>
        </w:rPr>
        <w:t xml:space="preserve">24. Для верификации личности клиента - физического лица, финансовые учреждения и нефинансовые категории лиц используют один из следующих документов, удостоверяющих личность:</w:t>
      </w:r>
    </w:p>
    <w:p>
      <w:pPr>
        <w:spacing w:after="60"/>
        <w:ind w:firstLine="567"/>
        <w:jc w:val="both"/>
      </w:pPr>
      <w:r>
        <w:rPr>
          <w:rFonts w:ascii="Arial" w:cs="Arial" w:eastAsia="Arial" w:hAnsi="Arial"/>
          <w:sz w:val="24"/>
          <w:szCs w:val="24"/>
        </w:rPr>
        <w:t xml:space="preserve">1) в отношении граждан Кыргызской Республики:</w:t>
      </w:r>
    </w:p>
    <w:p>
      <w:pPr>
        <w:spacing w:after="60"/>
        <w:ind w:firstLine="567"/>
        <w:jc w:val="both"/>
      </w:pPr>
      <w:r>
        <w:rPr>
          <w:rFonts w:ascii="Arial" w:cs="Arial" w:eastAsia="Arial" w:hAnsi="Arial"/>
          <w:sz w:val="24"/>
          <w:szCs w:val="24"/>
        </w:rPr>
        <w:t xml:space="preserve">а) паспорт гражданина Кыргызской Республики образца 2004 года (ID-карта);</w:t>
      </w:r>
    </w:p>
    <w:p>
      <w:pPr>
        <w:spacing w:after="60"/>
        <w:ind w:firstLine="567"/>
        <w:jc w:val="both"/>
      </w:pPr>
      <w:r>
        <w:rPr>
          <w:rFonts w:ascii="Arial" w:cs="Arial" w:eastAsia="Arial" w:hAnsi="Arial"/>
          <w:sz w:val="24"/>
          <w:szCs w:val="24"/>
        </w:rPr>
        <w:t xml:space="preserve">б) идентификационная карта - паспорт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в) свидетельство органов ЗАГС о рождении гражданина - для гражданина Кыргызской Республики, не достигшего 16 лет;</w:t>
      </w:r>
    </w:p>
    <w:p>
      <w:pPr>
        <w:spacing w:after="60"/>
        <w:ind w:firstLine="567"/>
        <w:jc w:val="both"/>
      </w:pPr>
      <w:r>
        <w:rPr>
          <w:rFonts w:ascii="Arial" w:cs="Arial" w:eastAsia="Arial" w:hAnsi="Arial"/>
          <w:sz w:val="24"/>
          <w:szCs w:val="24"/>
        </w:rPr>
        <w:t xml:space="preserve">г) военный билет;</w:t>
      </w:r>
    </w:p>
    <w:p>
      <w:pPr>
        <w:spacing w:after="60"/>
        <w:ind w:firstLine="567"/>
        <w:jc w:val="both"/>
      </w:pPr>
      <w:r>
        <w:rPr>
          <w:rFonts w:ascii="Arial" w:cs="Arial" w:eastAsia="Arial" w:hAnsi="Arial"/>
          <w:sz w:val="24"/>
          <w:szCs w:val="24"/>
        </w:rPr>
        <w:t xml:space="preserve">д) водительское удостоверение;</w:t>
      </w:r>
    </w:p>
    <w:p>
      <w:pPr>
        <w:spacing w:after="60"/>
        <w:ind w:firstLine="567"/>
        <w:jc w:val="both"/>
      </w:pPr>
      <w:r>
        <w:rPr>
          <w:rFonts w:ascii="Arial" w:cs="Arial" w:eastAsia="Arial" w:hAnsi="Arial"/>
          <w:sz w:val="24"/>
          <w:szCs w:val="24"/>
        </w:rPr>
        <w:t xml:space="preserve">2) в отношении иностранных граждан:</w:t>
      </w:r>
    </w:p>
    <w:p>
      <w:pPr>
        <w:spacing w:after="60"/>
        <w:ind w:firstLine="567"/>
        <w:jc w:val="both"/>
      </w:pPr>
      <w:r>
        <w:rPr>
          <w:rFonts w:ascii="Arial" w:cs="Arial" w:eastAsia="Arial" w:hAnsi="Arial"/>
          <w:sz w:val="24"/>
          <w:szCs w:val="24"/>
        </w:rPr>
        <w:t xml:space="preserve">а) паспорт иностранного гражданина;</w:t>
      </w:r>
    </w:p>
    <w:p>
      <w:pPr>
        <w:spacing w:after="60"/>
        <w:ind w:firstLine="567"/>
        <w:jc w:val="both"/>
      </w:pPr>
      <w:r>
        <w:rPr>
          <w:rFonts w:ascii="Arial" w:cs="Arial" w:eastAsia="Arial" w:hAnsi="Arial"/>
          <w:sz w:val="24"/>
          <w:szCs w:val="24"/>
        </w:rPr>
        <w:t xml:space="preserve">б) вид на жительство в Кыргызской Республике;</w:t>
      </w:r>
    </w:p>
    <w:p>
      <w:pPr>
        <w:spacing w:after="60"/>
        <w:ind w:firstLine="567"/>
        <w:jc w:val="both"/>
      </w:pPr>
      <w:r>
        <w:rPr>
          <w:rFonts w:ascii="Arial" w:cs="Arial" w:eastAsia="Arial" w:hAnsi="Arial"/>
          <w:sz w:val="24"/>
          <w:szCs w:val="24"/>
        </w:rPr>
        <w:t xml:space="preserve">3) в отношении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в отношении беженцев:</w:t>
      </w:r>
    </w:p>
    <w:p>
      <w:pPr>
        <w:spacing w:after="60"/>
        <w:ind w:firstLine="567"/>
        <w:jc w:val="both"/>
      </w:pPr>
      <w:r>
        <w:rPr>
          <w:rFonts w:ascii="Arial" w:cs="Arial" w:eastAsia="Arial" w:hAnsi="Arial"/>
          <w:sz w:val="24"/>
          <w:szCs w:val="24"/>
        </w:rPr>
        <w:t xml:space="preserve">а)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б) удостоверение беженца.</w:t>
      </w:r>
    </w:p>
    <w:p>
      <w:pPr>
        <w:spacing w:after="60"/>
        <w:ind w:firstLine="567"/>
        <w:jc w:val="both"/>
      </w:pPr>
      <w:r>
        <w:rPr>
          <w:rFonts w:ascii="Arial" w:cs="Arial" w:eastAsia="Arial" w:hAnsi="Arial"/>
          <w:sz w:val="24"/>
          <w:szCs w:val="24"/>
        </w:rPr>
        <w:t xml:space="preserve">25. Для верификации клиента - юридического лица, финансовые учреждения и нефинансовые категории лиц используют следующие документы:</w:t>
      </w:r>
    </w:p>
    <w:p>
      <w:pPr>
        <w:spacing w:after="60"/>
        <w:ind w:firstLine="567"/>
        <w:jc w:val="both"/>
      </w:pPr>
      <w:r>
        <w:rPr>
          <w:rFonts w:ascii="Arial" w:cs="Arial" w:eastAsia="Arial" w:hAnsi="Arial"/>
          <w:sz w:val="24"/>
          <w:szCs w:val="24"/>
        </w:rPr>
        <w:t xml:space="preserve">1) решение учредителя (учредителей) о создании юридического лица;</w:t>
      </w:r>
    </w:p>
    <w:p>
      <w:pPr>
        <w:spacing w:after="60"/>
        <w:ind w:firstLine="567"/>
        <w:jc w:val="both"/>
      </w:pPr>
      <w:r>
        <w:rPr>
          <w:rFonts w:ascii="Arial" w:cs="Arial" w:eastAsia="Arial" w:hAnsi="Arial"/>
          <w:sz w:val="24"/>
          <w:szCs w:val="24"/>
        </w:rPr>
        <w:t xml:space="preserve">2) устав и учредительный договор (если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4) изменения (дополнения) в учредительные документы (решение, устав, учредительный договор) - при перерегистрации юридического лица;</w:t>
      </w:r>
    </w:p>
    <w:p>
      <w:pPr>
        <w:spacing w:after="60"/>
        <w:ind w:firstLine="567"/>
        <w:jc w:val="both"/>
      </w:pPr>
      <w:r>
        <w:rPr>
          <w:rFonts w:ascii="Arial" w:cs="Arial" w:eastAsia="Arial" w:hAnsi="Arial"/>
          <w:sz w:val="24"/>
          <w:szCs w:val="24"/>
        </w:rPr>
        <w:t xml:space="preserve">5) документ, подтверждающий постановку на учет в налоговом органе;</w:t>
      </w:r>
    </w:p>
    <w:p>
      <w:pPr>
        <w:spacing w:after="60"/>
        <w:ind w:firstLine="567"/>
        <w:jc w:val="both"/>
      </w:pPr>
      <w:r>
        <w:rPr>
          <w:rFonts w:ascii="Arial" w:cs="Arial" w:eastAsia="Arial" w:hAnsi="Arial"/>
          <w:sz w:val="24"/>
          <w:szCs w:val="24"/>
        </w:rPr>
        <w:t xml:space="preserve">6) документы, подтверждающие полномочия лиц, имеющих право первой и второй подписи в карточке с образцами подписей и оттиском печати (решения органов управления, приказы, доверенности);</w:t>
      </w:r>
    </w:p>
    <w:p>
      <w:pPr>
        <w:spacing w:after="60"/>
        <w:ind w:firstLine="567"/>
        <w:jc w:val="both"/>
      </w:pPr>
      <w:r>
        <w:rPr>
          <w:rFonts w:ascii="Arial" w:cs="Arial" w:eastAsia="Arial" w:hAnsi="Arial"/>
          <w:sz w:val="24"/>
          <w:szCs w:val="24"/>
        </w:rPr>
        <w:t xml:space="preserve">7) лицензии на право осуществления предпринимательской деятельности (при наличии).</w:t>
      </w:r>
    </w:p>
    <w:p>
      <w:pPr>
        <w:spacing w:after="60"/>
        <w:ind w:firstLine="567"/>
        <w:jc w:val="both"/>
      </w:pPr>
      <w:r>
        <w:rPr>
          <w:rFonts w:ascii="Arial" w:cs="Arial" w:eastAsia="Arial" w:hAnsi="Arial"/>
          <w:sz w:val="24"/>
          <w:szCs w:val="24"/>
        </w:rPr>
        <w:t xml:space="preserve">26. При верификации клиента, финансовые учреждения и нефинансовые категории лиц должны использовать подлинники документов, действительные на дату их предъявления, или их копии, заверенные нотариусом.</w:t>
      </w:r>
    </w:p>
    <w:p>
      <w:pPr>
        <w:spacing w:after="60"/>
        <w:ind w:firstLine="567"/>
        <w:jc w:val="both"/>
      </w:pPr>
      <w:r>
        <w:rPr>
          <w:rFonts w:ascii="Arial" w:cs="Arial" w:eastAsia="Arial" w:hAnsi="Arial"/>
          <w:sz w:val="24"/>
          <w:szCs w:val="24"/>
        </w:rPr>
        <w:t xml:space="preserve">Если к верификации клиента имеет отношение только часть документа, может быть представлена выписка из него, заверенная нотариусом.</w:t>
      </w:r>
    </w:p>
    <w:p>
      <w:pPr>
        <w:spacing w:after="60"/>
        <w:ind w:firstLine="567"/>
        <w:jc w:val="both"/>
      </w:pPr>
      <w:r>
        <w:rPr>
          <w:rFonts w:ascii="Arial" w:cs="Arial" w:eastAsia="Arial" w:hAnsi="Arial"/>
          <w:sz w:val="24"/>
          <w:szCs w:val="24"/>
        </w:rPr>
        <w:t xml:space="preserve">В случае представления копии документов, финансовые учреждения и нефинансовые категории лиц должны потребовать представления подлинников документов для ознакомления и сверки.</w:t>
      </w:r>
    </w:p>
    <w:p>
      <w:pPr>
        <w:spacing w:after="60"/>
        <w:ind w:firstLine="567"/>
        <w:jc w:val="both"/>
      </w:pPr>
      <w:r>
        <w:rPr>
          <w:rFonts w:ascii="Arial" w:cs="Arial" w:eastAsia="Arial" w:hAnsi="Arial"/>
          <w:sz w:val="24"/>
          <w:szCs w:val="24"/>
        </w:rPr>
        <w:t xml:space="preserve">27. В случае если документы составлены полностью или частично на иностранном языке, финансовые учреждения и нефинансовые категории лиц должны затребовать от клиента перевод документа на государственный или официальный язык, заверенный переводческим учреждением.</w:t>
      </w:r>
    </w:p>
    <w:p>
      <w:pPr>
        <w:spacing w:after="60"/>
        <w:ind w:firstLine="567"/>
        <w:jc w:val="both"/>
      </w:pPr>
      <w:r>
        <w:rPr>
          <w:rFonts w:ascii="Arial" w:cs="Arial" w:eastAsia="Arial" w:hAnsi="Arial"/>
          <w:sz w:val="24"/>
          <w:szCs w:val="24"/>
        </w:rPr>
        <w:t xml:space="preserve">Документы, исходящие от государственных органов иностранных государств, подтверждающие статус юридических лиц-нерезидентов, принимаются финансовыми учреждениями и нефинансовыми категориями лиц в случае их легализации (апостиль) в соответствии с </w:t>
      </w:r>
      <w:hyperlink w:history="1" r:id="rId3ig68cgczldsht515jqkw">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и условиях проставления апостиля, утвержденной </w:t>
      </w:r>
      <w:hyperlink w:history="1" r:id="rIdt7ou8c39ueicad_2itne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2010 года № 283.</w:t>
      </w:r>
    </w:p>
    <w:p>
      <w:pPr>
        <w:spacing w:after="60"/>
        <w:ind w:firstLine="567"/>
        <w:jc w:val="both"/>
      </w:pPr>
      <w:r>
        <w:rPr>
          <w:rFonts w:ascii="Arial" w:cs="Arial" w:eastAsia="Arial" w:hAnsi="Arial"/>
          <w:sz w:val="24"/>
          <w:szCs w:val="24"/>
        </w:rPr>
        <w:t xml:space="preserve">Указанные документы могут быть представлены без их легализации (апостиля) в случаях, предусмотренных международными договорами, вступившими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28. Финансовые учреждения и нефинансовые категории лиц при верификации клиента также могут использовать дополнительную (вспомогательную) информацию, полученную из достоверных источников.</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обращаются в уполномоченные государственные органы для получения информации о статусе клиента - юридического лица (действует, ликвидирован или находится в процессе ликвидации).</w:t>
      </w:r>
    </w:p>
    <w:p>
      <w:pPr>
        <w:spacing w:after="60"/>
        <w:ind w:firstLine="567"/>
        <w:jc w:val="both"/>
      </w:pPr>
      <w:r>
        <w:rPr>
          <w:rFonts w:ascii="Arial" w:cs="Arial" w:eastAsia="Arial" w:hAnsi="Arial"/>
          <w:sz w:val="24"/>
          <w:szCs w:val="24"/>
        </w:rPr>
        <w:t xml:space="preserve">29. В случае если от имени клиента выступает доверенное лицо, финансовые учреждения и нефинансовые категории лиц обязаны его верифицировать, а также проверить соответствующие документы, подтверждающие полномочия такого лица.</w:t>
      </w:r>
    </w:p>
    <w:p>
      <w:pPr>
        <w:spacing w:after="60"/>
        <w:ind w:firstLine="567"/>
        <w:jc w:val="both"/>
      </w:pPr>
      <w:r>
        <w:rPr>
          <w:rFonts w:ascii="Arial" w:cs="Arial" w:eastAsia="Arial" w:hAnsi="Arial"/>
          <w:sz w:val="24"/>
          <w:szCs w:val="24"/>
        </w:rPr>
        <w:t xml:space="preserve">30. Верификация клиента, устанавливающего деловые отношения и осуществляющего операции (сделки) удаленным (дистанционным) способом, проводится в порядке, установленном в приложении 5 к настоящему Положению.</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lxmzob7_pnywsdbsjwjv6">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j-k1tfew-cqpgodn2zhaf">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2"/>
          <w:szCs w:val="22"/>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5. Идентификация и верификация бенефициарного владельца</w:t>
      </w:r>
    </w:p>
    <w:p>
      <w:pPr>
        <w:spacing w:after="200" w:before="200"/>
        <w:jc w:val="center"/>
      </w:pPr>
      <w:r>
        <w:rPr>
          <w:rFonts w:ascii="Arial" w:cs="Arial" w:eastAsia="Arial" w:hAnsi="Arial"/>
          <w:b/>
          <w:bCs/>
          <w:sz w:val="32"/>
          <w:szCs w:val="32"/>
        </w:rPr>
        <w:t xml:space="preserve">§ 1. Идентификация бенефициарного владельца</w:t>
      </w:r>
    </w:p>
    <w:p>
      <w:pPr>
        <w:spacing w:after="60"/>
        <w:ind w:firstLine="567"/>
        <w:jc w:val="both"/>
      </w:pPr>
      <w:r>
        <w:rPr>
          <w:rFonts w:ascii="Arial" w:cs="Arial" w:eastAsia="Arial" w:hAnsi="Arial"/>
          <w:sz w:val="24"/>
          <w:szCs w:val="24"/>
        </w:rPr>
        <w:t xml:space="preserve">31. Финансовые учреждения и нефинансовые категории лиц обязаны идентифицировать бенефициарного владельца.</w:t>
      </w:r>
    </w:p>
    <w:p>
      <w:pPr>
        <w:spacing w:after="60"/>
        <w:ind w:firstLine="567"/>
        <w:jc w:val="both"/>
      </w:pPr>
      <w:r>
        <w:rPr>
          <w:rFonts w:ascii="Arial" w:cs="Arial" w:eastAsia="Arial" w:hAnsi="Arial"/>
          <w:sz w:val="24"/>
          <w:szCs w:val="24"/>
        </w:rPr>
        <w:t xml:space="preserve">Идентификация бенефициарного владельца производится путем заполнения анкеты бенефициарного владельца по форме согласно </w:t>
      </w:r>
      <w:hyperlink w:history="1" r:id="rIdpgmmgcf4ihh7nnfulrai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Анкета бенефициарного владельца заполняется в отношении бенефициарного владельца новых и действующих клиентов.</w:t>
      </w:r>
    </w:p>
    <w:p>
      <w:pPr>
        <w:spacing w:after="60"/>
        <w:ind w:firstLine="567"/>
        <w:jc w:val="both"/>
      </w:pPr>
      <w:r>
        <w:rPr>
          <w:rFonts w:ascii="Arial" w:cs="Arial" w:eastAsia="Arial" w:hAnsi="Arial"/>
          <w:sz w:val="24"/>
          <w:szCs w:val="24"/>
        </w:rPr>
        <w:t xml:space="preserve">33. Анкета бенефициарного владельца не заполняется в отношении следующих субъектов:</w:t>
      </w:r>
    </w:p>
    <w:p>
      <w:pPr>
        <w:spacing w:after="60"/>
        <w:ind w:firstLine="567"/>
        <w:jc w:val="both"/>
      </w:pPr>
      <w:r>
        <w:rPr>
          <w:rFonts w:ascii="Arial" w:cs="Arial" w:eastAsia="Arial" w:hAnsi="Arial"/>
          <w:sz w:val="24"/>
          <w:szCs w:val="24"/>
        </w:rPr>
        <w:t xml:space="preserve">1)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2) органы местного самоуправления Кыргызской Республики;</w:t>
      </w:r>
    </w:p>
    <w:p>
      <w:pPr>
        <w:spacing w:after="60"/>
        <w:ind w:firstLine="567"/>
        <w:jc w:val="both"/>
      </w:pPr>
      <w:r>
        <w:rPr>
          <w:rFonts w:ascii="Arial" w:cs="Arial" w:eastAsia="Arial" w:hAnsi="Arial"/>
          <w:sz w:val="24"/>
          <w:szCs w:val="24"/>
        </w:rPr>
        <w:t xml:space="preserve">3) общеизвестные международные организации, членом которых является Кыргызская Республика, перечень которых формируется и публикуется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34. В случае отсутствия бенефициарных владельцев, прямо или косвенно (через третьих лиц) владеющих более 25% долей (акций), или имеются сомнения по размеру доли (акций) бенефициарного владельца либо не выявлен бенефициарный владелец в результате установления бенефициарного владельца клиента - юридического лица, то им может быть признано физическое лицо (физические лица), которое(ые) имеет(ют) возможность контролировать действия клиента - юридического лица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 В данном случае анкета бенефициарного владельца заполняется на данное лицо. При этом должны быть зафиксированы идентификационные данные известных бенефициарных владельцев.</w:t>
      </w:r>
    </w:p>
    <w:p>
      <w:pPr>
        <w:spacing w:after="60"/>
        <w:ind w:firstLine="567"/>
        <w:jc w:val="both"/>
      </w:pPr>
      <w:r>
        <w:rPr>
          <w:rFonts w:ascii="Arial" w:cs="Arial" w:eastAsia="Arial" w:hAnsi="Arial"/>
          <w:sz w:val="24"/>
          <w:szCs w:val="24"/>
        </w:rPr>
        <w:t xml:space="preserve">35. В случае если бенефициарным владельцем клиента являются несколько физических лиц, каждый имеющий долю (акций) более 25%, то анкета заполняется на каждого бенефициарного владельца.</w:t>
      </w:r>
    </w:p>
    <w:p>
      <w:pPr>
        <w:spacing w:after="60"/>
        <w:ind w:firstLine="567"/>
        <w:jc w:val="both"/>
      </w:pPr>
      <w:r>
        <w:rPr>
          <w:rFonts w:ascii="Arial" w:cs="Arial" w:eastAsia="Arial" w:hAnsi="Arial"/>
          <w:sz w:val="24"/>
          <w:szCs w:val="24"/>
        </w:rPr>
        <w:t xml:space="preserve">36. В случае если владельцем доли (акции) более 25% является юридическое лицо, необходимо выяснить и указать конкретное физическое лицо, которое в конечном счете прямо или косвенно (через третьих лиц) владеет (имеет преобладающие участие более 25% в капитале) юридическим лицом либо имеет возможность контролировать действия этого юридического лица.</w:t>
      </w:r>
    </w:p>
    <w:p>
      <w:pPr>
        <w:spacing w:after="60"/>
        <w:ind w:firstLine="567"/>
        <w:jc w:val="both"/>
      </w:pPr>
      <w:r>
        <w:rPr>
          <w:rFonts w:ascii="Arial" w:cs="Arial" w:eastAsia="Arial" w:hAnsi="Arial"/>
          <w:sz w:val="24"/>
          <w:szCs w:val="24"/>
        </w:rPr>
        <w:t xml:space="preserve">В этом случае к анкете бенефициарного владельца необходимо приложить схему структуры собственности (управления) клиента - юридического лица, которая предусматривает промежуточные юридические лица, вплоть до конечных владельцев - физических лиц, прямо или косвенно (через третьих лиц) владеющих более 25% долей (акций), и степень взаимосвязи между учредителями - юридическими лицами и бенефициарным владельцем.</w:t>
      </w:r>
    </w:p>
    <w:p>
      <w:pPr>
        <w:spacing w:after="200" w:before="200"/>
        <w:jc w:val="center"/>
      </w:pPr>
      <w:r>
        <w:rPr>
          <w:rFonts w:ascii="Arial" w:cs="Arial" w:eastAsia="Arial" w:hAnsi="Arial"/>
          <w:b/>
          <w:bCs/>
          <w:sz w:val="32"/>
          <w:szCs w:val="32"/>
        </w:rPr>
        <w:t xml:space="preserve">§ 2. Верификация бенефициарного владельца</w:t>
      </w:r>
    </w:p>
    <w:p>
      <w:pPr>
        <w:spacing w:after="60"/>
        <w:ind w:firstLine="567"/>
        <w:jc w:val="both"/>
      </w:pPr>
      <w:r>
        <w:rPr>
          <w:rFonts w:ascii="Arial" w:cs="Arial" w:eastAsia="Arial" w:hAnsi="Arial"/>
          <w:sz w:val="24"/>
          <w:szCs w:val="24"/>
        </w:rPr>
        <w:t xml:space="preserve">37. Финансовые учреждения и нефинансовые категории лиц обязаны применять разумные меры для верификации бенефициарного владельца с использованием документов, указанных в пунктах 24 и 25 настоящего Положения, или их копий, заверенных нотариусом, и (или) информации, полученной из достоверных источников, позволяющих установить бенефициарного владельца.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при верификации бенефициарного владельца (в отношении клиентов, являющихся юридическими образованиями) используют следующую информацию:</w:t>
      </w:r>
    </w:p>
    <w:p>
      <w:pPr>
        <w:spacing w:after="60"/>
        <w:ind w:firstLine="567"/>
        <w:jc w:val="both"/>
      </w:pPr>
      <w:r>
        <w:rPr>
          <w:rFonts w:ascii="Arial" w:cs="Arial" w:eastAsia="Arial" w:hAnsi="Arial"/>
          <w:sz w:val="24"/>
          <w:szCs w:val="24"/>
        </w:rPr>
        <w:t xml:space="preserve">- в отношении трастов: личные данные доверителя, доверенного лица, попечителя (если имеется), бенефициаров или группы бенефициаров и любого другого физического лица, осуществляющего в итоге фактический контроль над трастом;</w:t>
      </w:r>
    </w:p>
    <w:p>
      <w:pPr>
        <w:spacing w:after="60"/>
        <w:ind w:firstLine="567"/>
        <w:jc w:val="both"/>
      </w:pPr>
      <w:r>
        <w:rPr>
          <w:rFonts w:ascii="Arial" w:cs="Arial" w:eastAsia="Arial" w:hAnsi="Arial"/>
          <w:sz w:val="24"/>
          <w:szCs w:val="24"/>
        </w:rPr>
        <w:t xml:space="preserve">- в отношении других видов юридических образований: личные данные лиц, занимающих эквивалентные должности.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rtas8u_p4irgcquvgsv7">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Финансовые учреждения и нефинансовые категории лиц обязаны верифицировать бенефициарного владельца до или в ходе установления деловых отношений с клиентом или проведения клиентом разовых операций (сделок), в зависимости от уровня риска клиента.</w:t>
      </w:r>
    </w:p>
    <w:p>
      <w:pPr>
        <w:spacing w:after="60"/>
        <w:ind w:firstLine="567"/>
        <w:jc w:val="both"/>
      </w:pPr>
      <w:r>
        <w:rPr>
          <w:rFonts w:ascii="Arial" w:cs="Arial" w:eastAsia="Arial" w:hAnsi="Arial"/>
          <w:sz w:val="24"/>
          <w:szCs w:val="24"/>
        </w:rPr>
        <w:t xml:space="preserve">39. При проведении операции (сделки), осуществляемой без присутствия сторон или с ценными бумагами, финансовые учреждения и нефинансовые категории лиц завершают верификацию бенефициарного владельца в течение 10 календарных дней после установления деловых отношений с клиентом, если риски являются низкими. В данных случаях финансовые учреждения или нефинансовые категории лиц должны до завершения верификации бенефициарного владельца применить процедуры управления рисками, включающие меры по ограничению количества, видов и (или) сумм операций (сделок), и мониторингу крупных и сложных операций (сделок).</w:t>
      </w:r>
    </w:p>
    <w:p>
      <w:pPr>
        <w:spacing w:after="200" w:before="200"/>
        <w:jc w:val="center"/>
      </w:pPr>
      <w:r>
        <w:rPr>
          <w:rFonts w:ascii="Arial" w:cs="Arial" w:eastAsia="Arial" w:hAnsi="Arial"/>
          <w:b/>
          <w:bCs/>
          <w:sz w:val="24"/>
          <w:szCs w:val="24"/>
        </w:rPr>
        <w:t xml:space="preserve">Глава 6. Дополнительные меры надлежащей проверки клиента, применяемые в отношении некоторых категорий клиентов</w:t>
      </w:r>
    </w:p>
    <w:p>
      <w:pPr>
        <w:spacing w:after="200" w:before="200"/>
        <w:jc w:val="center"/>
      </w:pPr>
      <w:r>
        <w:rPr>
          <w:rFonts w:ascii="Arial" w:cs="Arial" w:eastAsia="Arial" w:hAnsi="Arial"/>
          <w:b/>
          <w:bCs/>
          <w:sz w:val="32"/>
          <w:szCs w:val="32"/>
        </w:rPr>
        <w:t xml:space="preserve">§ 1. Дополнительные меры, применяемые в отношении публичных должностных лиц</w:t>
      </w:r>
    </w:p>
    <w:p>
      <w:pPr>
        <w:spacing w:after="60"/>
        <w:ind w:firstLine="567"/>
        <w:jc w:val="both"/>
      </w:pPr>
      <w:r>
        <w:rPr>
          <w:rFonts w:ascii="Arial" w:cs="Arial" w:eastAsia="Arial" w:hAnsi="Arial"/>
          <w:sz w:val="24"/>
          <w:szCs w:val="24"/>
        </w:rPr>
        <w:t xml:space="preserve">40. В отношении публичных должностных лиц, членов семей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 финансовые учреждения и нефинансовые категории лиц применяют дополнительные меры надлежащей проверки клиента, предусмотренные частью 3 </w:t>
      </w:r>
      <w:r>
        <w:rPr>
          <w:rFonts w:ascii="Arial" w:cs="Arial" w:eastAsia="Arial" w:hAnsi="Arial"/>
          <w:sz w:val="24"/>
          <w:szCs w:val="24"/>
        </w:rPr>
        <w:t xml:space="preserve">статьи 21</w:t>
      </w:r>
      <w:hyperlink w:history="1" r:id="rIdbgitcjcuogn5r6uj16i8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41. Меры, указанные в подпунктах 2-4 части 3 </w:t>
      </w:r>
      <w:hyperlink w:history="1" r:id="rIduspam9bacv60lyeb5ormh">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 применяются в отношении национальных публичных должностных лиц и публичных должностных лиц международных организаций, а также членов их семей и близких лиц, в случае определения высокого риска деловых отношений с такими лицами.</w:t>
      </w:r>
    </w:p>
    <w:p>
      <w:pPr>
        <w:spacing w:after="60"/>
        <w:ind w:firstLine="567"/>
        <w:jc w:val="both"/>
      </w:pPr>
      <w:r>
        <w:rPr>
          <w:rFonts w:ascii="Arial" w:cs="Arial" w:eastAsia="Arial" w:hAnsi="Arial"/>
          <w:sz w:val="24"/>
          <w:szCs w:val="24"/>
        </w:rPr>
        <w:t xml:space="preserve">42. Список национальных публичных должностных лиц, членов семей и близких лиц национального публичного должностного лица в виде электронной базы данных формируется органом финансовой разведки.</w:t>
      </w:r>
    </w:p>
    <w:p>
      <w:pPr>
        <w:spacing w:after="60"/>
        <w:ind w:firstLine="567"/>
        <w:jc w:val="both"/>
      </w:pPr>
      <w:r>
        <w:rPr>
          <w:rFonts w:ascii="Arial" w:cs="Arial" w:eastAsia="Arial" w:hAnsi="Arial"/>
          <w:sz w:val="24"/>
          <w:szCs w:val="24"/>
        </w:rPr>
        <w:t xml:space="preserve">Доступ к сведениям электронной базы данных национальных публичных должностных лиц предоставляется финансовым учреждениям и нефинансовым категориям лиц (далее - пользователи) по электронным каналам связи.</w:t>
      </w:r>
    </w:p>
    <w:p>
      <w:pPr>
        <w:spacing w:after="60"/>
        <w:ind w:firstLine="567"/>
        <w:jc w:val="both"/>
      </w:pPr>
      <w:r>
        <w:rPr>
          <w:rFonts w:ascii="Arial" w:cs="Arial" w:eastAsia="Arial" w:hAnsi="Arial"/>
          <w:sz w:val="24"/>
          <w:szCs w:val="24"/>
        </w:rPr>
        <w:t xml:space="preserve">Перечень сведений базы данных национальных публичных должностных лиц, к которым предоставляется доступ, определяется соглашением между органом финансовой разведки и пользователем базы данных.</w:t>
      </w:r>
    </w:p>
    <w:p>
      <w:pPr>
        <w:spacing w:after="60"/>
        <w:ind w:firstLine="567"/>
        <w:jc w:val="both"/>
      </w:pPr>
      <w:r>
        <w:rPr>
          <w:rFonts w:ascii="Arial" w:cs="Arial" w:eastAsia="Arial" w:hAnsi="Arial"/>
          <w:sz w:val="24"/>
          <w:szCs w:val="24"/>
        </w:rPr>
        <w:t xml:space="preserve">Пользователи базы данных обеспечивают конфиденциальность, сохранность и защиту от несанкционированного доступа и несут ответственность за передачу третьим лицам сведений, полученных из базы данных национальных публичных должностных лиц.</w:t>
      </w:r>
    </w:p>
    <w:p>
      <w:pPr>
        <w:spacing w:after="60"/>
        <w:ind w:firstLine="567"/>
        <w:jc w:val="both"/>
      </w:pPr>
      <w:r>
        <w:rPr>
          <w:rFonts w:ascii="Arial" w:cs="Arial" w:eastAsia="Arial" w:hAnsi="Arial"/>
          <w:sz w:val="24"/>
          <w:szCs w:val="24"/>
        </w:rPr>
        <w:t xml:space="preserve">При выявлении национальных публичных должностных лиц, финансовые учреждения и нефинансовые категории лиц фиксируют полученные сведения в электронном формате согласно Типовой форме анкеты публичного должностного лиц (</w:t>
      </w:r>
      <w:hyperlink w:history="1" r:id="rIdyj9mqrlffvtlmflqc7mjv">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t9jcqbgkrh-jb_atcmrj">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Финансовые учреждения и нефинансовые категории лиц могут использовать открытые источники информации для установления, мониторинга, проверки информации в отношении публичных должностных лиц.</w:t>
      </w:r>
    </w:p>
    <w:p>
      <w:pPr>
        <w:spacing w:after="200" w:before="200"/>
        <w:jc w:val="center"/>
      </w:pPr>
      <w:r>
        <w:rPr>
          <w:rFonts w:ascii="Arial" w:cs="Arial" w:eastAsia="Arial" w:hAnsi="Arial"/>
          <w:b/>
          <w:bCs/>
          <w:sz w:val="32"/>
          <w:szCs w:val="32"/>
        </w:rPr>
        <w:t xml:space="preserve">§ 2. Дополнительные меры, применяемые в отношении выгодоприобретателей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44. Финансовые учреждения должны применять в отношении выгодоприобретателей по полису страхования жизни и другим полисам страхования, связанным с инвестированием (далее - выгодоприобретатель) следующие дополнительные меры надлежащей проверки клиента:</w:t>
      </w:r>
    </w:p>
    <w:p>
      <w:pPr>
        <w:spacing w:after="60"/>
        <w:ind w:firstLine="567"/>
        <w:jc w:val="both"/>
      </w:pPr>
      <w:r>
        <w:rPr>
          <w:rFonts w:ascii="Arial" w:cs="Arial" w:eastAsia="Arial" w:hAnsi="Arial"/>
          <w:sz w:val="24"/>
          <w:szCs w:val="24"/>
        </w:rPr>
        <w:t xml:space="preserve">1) установление идентификационных сведений физического или юридического лица либо юридического образования, являющегося выгодоприобретателем;</w:t>
      </w:r>
    </w:p>
    <w:p>
      <w:pPr>
        <w:spacing w:after="60"/>
        <w:ind w:firstLine="567"/>
        <w:jc w:val="both"/>
      </w:pPr>
      <w:r>
        <w:rPr>
          <w:rFonts w:ascii="Arial" w:cs="Arial" w:eastAsia="Arial" w:hAnsi="Arial"/>
          <w:sz w:val="24"/>
          <w:szCs w:val="24"/>
        </w:rPr>
        <w:t xml:space="preserve">2) получение достаточной информации о выгодоприобретателе, позволяющей верифицировать личность выгодоприобретателя.</w:t>
      </w:r>
    </w:p>
    <w:p>
      <w:pPr>
        <w:spacing w:after="60"/>
        <w:ind w:firstLine="567"/>
        <w:jc w:val="both"/>
      </w:pPr>
      <w:r>
        <w:rPr>
          <w:rFonts w:ascii="Arial" w:cs="Arial" w:eastAsia="Arial" w:hAnsi="Arial"/>
          <w:sz w:val="24"/>
          <w:szCs w:val="24"/>
        </w:rPr>
        <w:t xml:space="preserve">При этом, верификация выгодоприобретателя проводится в момент выплаты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45. Финансовые учреждения применяют в отношении выгодоприобретателя усиленные меры надлежащей проверки клиента, предусмотренные пунктом 12 настоящего Положения, если выгодоприобретатель (юридическое лицо или юридическое образование, публичное должностное лицо) оценен как высокорискованный клиент.</w:t>
      </w:r>
    </w:p>
    <w:p>
      <w:pPr>
        <w:spacing w:after="60"/>
        <w:ind w:firstLine="567"/>
        <w:jc w:val="both"/>
      </w:pPr>
      <w:r>
        <w:rPr>
          <w:rFonts w:ascii="Arial" w:cs="Arial" w:eastAsia="Arial" w:hAnsi="Arial"/>
          <w:sz w:val="24"/>
          <w:szCs w:val="24"/>
        </w:rPr>
        <w:t xml:space="preserve">В случае наступления страхового случая и определения высокого риска, усиленные меры надлежащей проверки клиента применяются до выплаты денежных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В момент выплаты средств по полису страхования жизни и другим полисам страхования, связанным с инвестированием, финансовые учреждения принимают меры для определения того, является ли выгодоприобретатель или бенефициарный владелец публичным должностным лицом.</w:t>
      </w:r>
    </w:p>
    <w:p>
      <w:pPr>
        <w:spacing w:after="60"/>
        <w:ind w:firstLine="567"/>
        <w:jc w:val="both"/>
      </w:pPr>
      <w:r>
        <w:rPr>
          <w:rFonts w:ascii="Arial" w:cs="Arial" w:eastAsia="Arial" w:hAnsi="Arial"/>
          <w:sz w:val="24"/>
          <w:szCs w:val="24"/>
        </w:rPr>
        <w:t xml:space="preserve">46. В случае выявления высокого риска или невозможности применения в отношении выгодоприобретателя усиленных мер надлежащей проверки клиента, финансовые учреждения рассматривают вопрос о направлении сообщения о подозрительной операции (сделке) в орган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oeholklsumimmroce9pm">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7. Доверие к проведенным идентификации и верификации, а также доверие третьим сторонам</w:t>
      </w:r>
    </w:p>
    <w:p>
      <w:pPr>
        <w:spacing w:after="60"/>
        <w:ind w:firstLine="567"/>
        <w:jc w:val="both"/>
      </w:pPr>
      <w:r>
        <w:rPr>
          <w:rFonts w:ascii="Arial" w:cs="Arial" w:eastAsia="Arial" w:hAnsi="Arial"/>
          <w:sz w:val="24"/>
          <w:szCs w:val="24"/>
        </w:rPr>
        <w:t xml:space="preserve">47. Финансовые учреждения и нефинансовые категории лиц не должны повторно идентифицировать и верифицировать клиента каждый раз, когда клиент осуществляет операцию (сделку).</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вправе полагаться на принятые меры по идентификации и верификации клиента до появления обоснованных сомнений в достоверности имеющейся информации или возникновения подозрений в финансировании террористической деятельности и легализации (отмывании) преступных доходов либо проведении операций (сделок), не соответствующих деловому профилю деятельности клиента.</w:t>
      </w:r>
    </w:p>
    <w:p>
      <w:pPr>
        <w:spacing w:after="60"/>
        <w:ind w:firstLine="567"/>
        <w:jc w:val="both"/>
      </w:pPr>
      <w:r>
        <w:rPr>
          <w:rFonts w:ascii="Arial" w:cs="Arial" w:eastAsia="Arial" w:hAnsi="Arial"/>
          <w:sz w:val="24"/>
          <w:szCs w:val="24"/>
        </w:rPr>
        <w:t xml:space="preserve">48. В целях проведения надлежащей проверки клиента, финансовые учреждения и нефинансовые категории лиц могут полагаться на сотрудничающие финансовые учреждения (третья сторона), зарегистрированные на территории государств-участников Евразийской группы по противодействию легализации преступных доходов и финансированию терроризма, на основе заключенных договоров.</w:t>
      </w:r>
    </w:p>
    <w:p>
      <w:pPr>
        <w:spacing w:after="60"/>
        <w:ind w:firstLine="567"/>
        <w:jc w:val="both"/>
      </w:pPr>
      <w:r>
        <w:rPr>
          <w:rFonts w:ascii="Arial" w:cs="Arial" w:eastAsia="Arial" w:hAnsi="Arial"/>
          <w:sz w:val="24"/>
          <w:szCs w:val="24"/>
        </w:rPr>
        <w:t xml:space="preserve">При этом финансовые учреждения и нефинансовые категории лиц, полагающиеся на третью сторону, должны соблюдать следующие требования:</w:t>
      </w:r>
    </w:p>
    <w:p>
      <w:pPr>
        <w:spacing w:after="60"/>
        <w:ind w:firstLine="567"/>
        <w:jc w:val="both"/>
      </w:pPr>
      <w:r>
        <w:rPr>
          <w:rFonts w:ascii="Arial" w:cs="Arial" w:eastAsia="Arial" w:hAnsi="Arial"/>
          <w:sz w:val="24"/>
          <w:szCs w:val="24"/>
        </w:rPr>
        <w:t xml:space="preserve">1) удостовериться в том, что деятельность третьей стороны контролируется и регулируется соответствующим проверяющим органом и что третья сторона принимает меры по выполнению требований надлежащей проверки клиента и хранения данных в соответствии с законодательством государств-участников Евразийской группы по противодействию легализации преступных доходов и финансированию терроризма в сфере ПФТ/ЛПД;</w:t>
      </w:r>
    </w:p>
    <w:p>
      <w:pPr>
        <w:spacing w:after="60"/>
        <w:ind w:firstLine="567"/>
        <w:jc w:val="both"/>
      </w:pPr>
      <w:r>
        <w:rPr>
          <w:rFonts w:ascii="Arial" w:cs="Arial" w:eastAsia="Arial" w:hAnsi="Arial"/>
          <w:sz w:val="24"/>
          <w:szCs w:val="24"/>
        </w:rPr>
        <w:t xml:space="preserve">2) в течение одного рабочего дня получить от третьей стороны необходимую информацию о клиенте и бенефициарном владельце, копии анкет клиента и бенефициарного владельца, а также копии других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В случае соблюдения вышеуказанных требований, деловые отношения устанавливаются или операции (сделки) совершаются после получения всей информации и документов, сформированных в результате надлежащей проверки клиента.</w:t>
      </w:r>
    </w:p>
    <w:p>
      <w:pPr>
        <w:spacing w:after="60"/>
        <w:ind w:firstLine="567"/>
        <w:jc w:val="both"/>
      </w:pPr>
      <w:r>
        <w:rPr>
          <w:rFonts w:ascii="Arial" w:cs="Arial" w:eastAsia="Arial" w:hAnsi="Arial"/>
          <w:sz w:val="24"/>
          <w:szCs w:val="24"/>
        </w:rPr>
        <w:t xml:space="preserve">Сведения, составляющие банковскую тайну, передаются на основе письменного согласия клиента.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av7tv_jaibigsu7sxqco">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Ответственность за своевременное и качественное выполнение надлежащей проверки клиента возлагается на финансовое учреждение и нефинансовую категорию лиц, полагающихся на третью сторону.</w:t>
      </w:r>
    </w:p>
    <w:p>
      <w:pPr>
        <w:spacing w:after="200" w:before="200"/>
        <w:jc w:val="center"/>
      </w:pPr>
      <w:r>
        <w:rPr>
          <w:rFonts w:ascii="Arial" w:cs="Arial" w:eastAsia="Arial" w:hAnsi="Arial"/>
          <w:b/>
          <w:bCs/>
          <w:sz w:val="24"/>
          <w:szCs w:val="24"/>
        </w:rPr>
        <w:t xml:space="preserve">Глава 8. Меры, применяемые при невозможности выполнения надлежащей проверки клиента и возникновении подозрений</w:t>
      </w:r>
    </w:p>
    <w:p>
      <w:pPr>
        <w:spacing w:after="60"/>
        <w:ind w:firstLine="567"/>
        <w:jc w:val="both"/>
      </w:pPr>
      <w:r>
        <w:rPr>
          <w:rFonts w:ascii="Arial" w:cs="Arial" w:eastAsia="Arial" w:hAnsi="Arial"/>
          <w:sz w:val="24"/>
          <w:szCs w:val="24"/>
        </w:rPr>
        <w:t xml:space="preserve">50. В случае непредоставления клиентом сведений и (или) документов, необходимых для проведения надлежащей проверки клиента, или невозможности проведения надлежащей проверки клиента, финансовые учреждения и нефинансовые категории лиц принимают меры, предусмотренные частью 5 </w:t>
      </w:r>
      <w:hyperlink w:history="1" r:id="rIdxrw8t6bdyqqc4_chqubxo">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51. В случае если во время установления деловых отношений или в ходе деловых отношений с клиентом, или при проведении разовых операций (сделок), возникнут подозрения, что операции (сделки) связаны с финансированием террористической деятельности и легализацией (отмыванием) преступных доходов, финансовые учреждения и нефинансовые категории лиц должны применять следующие меры:</w:t>
      </w:r>
    </w:p>
    <w:p>
      <w:pPr>
        <w:spacing w:after="60"/>
        <w:ind w:firstLine="567"/>
        <w:jc w:val="both"/>
      </w:pPr>
      <w:r>
        <w:rPr>
          <w:rFonts w:ascii="Arial" w:cs="Arial" w:eastAsia="Arial" w:hAnsi="Arial"/>
          <w:sz w:val="24"/>
          <w:szCs w:val="24"/>
        </w:rPr>
        <w:t xml:space="preserve">1) провести идентификацию и верификацию клиента и бенефициарного владельца, независимо от любых исключений или установленных пороговых значений;</w:t>
      </w:r>
    </w:p>
    <w:p>
      <w:pPr>
        <w:spacing w:after="60"/>
        <w:ind w:firstLine="567"/>
        <w:jc w:val="both"/>
      </w:pPr>
      <w:r>
        <w:rPr>
          <w:rFonts w:ascii="Arial" w:cs="Arial" w:eastAsia="Arial" w:hAnsi="Arial"/>
          <w:sz w:val="24"/>
          <w:szCs w:val="24"/>
        </w:rPr>
        <w:t xml:space="preserve">2) провести всесторонний анализ деловых отношений или операции (сделки) и принять решение о признании деловых отношений или операции (сделки) подозрительными;</w:t>
      </w:r>
    </w:p>
    <w:p>
      <w:pPr>
        <w:spacing w:after="60"/>
        <w:ind w:firstLine="567"/>
        <w:jc w:val="both"/>
      </w:pPr>
      <w:r>
        <w:rPr>
          <w:rFonts w:ascii="Arial" w:cs="Arial" w:eastAsia="Arial" w:hAnsi="Arial"/>
          <w:sz w:val="24"/>
          <w:szCs w:val="24"/>
        </w:rPr>
        <w:t xml:space="preserve">3) приостановить подозрительную операцию (сделку) до 5 рабочих дней и в течение пяти часов с момента признания в установленном порядке операции (сделки) подозрительной направить сообщение о подозрительной операции (сделке) в орган финансовой разведки. Орган финансовой разведки в течение 5 рабочих дней принимает решение по результатам анализа подозрительной операции (сделки) и доводит его до сведения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4) приостановить или прекратить деловые отношения с клиентом.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ywtsbeakrkhsi8x4lqy4">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случае если финансовые учреждения и нефинансовые категории лиц убеждены в том, что проведение надлежащей проверки клиента приведет к разглашению информации о возникших подозрениях, финансовые учреждения и нефинансовые категории лиц не принимают меры надлежащей проверки клиента, приостанавливают подозрительную операцию (сделку) на срок до 5 рабочих дней и направляют сообщение о подозрительной операции (сделке) в орган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npsoumpqjavsd6glmm8">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9. Документальное фиксирование и обновление сведений и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53. Сведения о клиенте, бенефициарном владельце и выгодоприобретателе, полученные в результате идентификации, фиксируются в анкете клиента в зависимости от типа клиента (физическое лицо или юридическое лицо) и анкете бенефициарного владельца.</w:t>
      </w:r>
    </w:p>
    <w:p>
      <w:pPr>
        <w:spacing w:after="60"/>
        <w:ind w:firstLine="567"/>
        <w:jc w:val="both"/>
      </w:pPr>
      <w:r>
        <w:rPr>
          <w:rFonts w:ascii="Arial" w:cs="Arial" w:eastAsia="Arial" w:hAnsi="Arial"/>
          <w:sz w:val="24"/>
          <w:szCs w:val="24"/>
        </w:rPr>
        <w:t xml:space="preserve">В случае если от имени клиента выступает доверенное лицо, финансовые учреждения и нефинансовые категории лиц обязаны документально зафиксировать сведения, полученные в результате идентификации и верификации такого лица.</w:t>
      </w:r>
    </w:p>
    <w:p>
      <w:pPr>
        <w:spacing w:after="60"/>
        <w:ind w:firstLine="567"/>
        <w:jc w:val="both"/>
      </w:pPr>
      <w:r>
        <w:rPr>
          <w:rFonts w:ascii="Arial" w:cs="Arial" w:eastAsia="Arial" w:hAnsi="Arial"/>
          <w:sz w:val="24"/>
          <w:szCs w:val="24"/>
        </w:rPr>
        <w:t xml:space="preserve">54. Анкеты клиента, публичного должностного лица и бенефициарного владельца заполняются и хранятся в электронном виде при условии, что в финансовых учреждениях и нефинансовых категориях лиц установлена система безопасности, обеспечивающая сохранность информации, в соответствии с требованиями законодательства. Данные анкеты при переносе на бумажный носитель заверяются подписью ответственного сотрудника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не подписываются клиентом или представителем клиента.</w:t>
      </w:r>
    </w:p>
    <w:p>
      <w:pPr>
        <w:spacing w:after="60"/>
        <w:ind w:firstLine="567"/>
        <w:jc w:val="both"/>
      </w:pPr>
      <w:r>
        <w:rPr>
          <w:rFonts w:ascii="Arial" w:cs="Arial" w:eastAsia="Arial" w:hAnsi="Arial"/>
          <w:sz w:val="24"/>
          <w:szCs w:val="24"/>
        </w:rPr>
        <w:t xml:space="preserve">При заполнении анкет клиента и публичного должностного лица, являющихся резидентом, могут применяться автоматизированные информационные системы с использованием доступных баз данных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Клиент или представитель клиента (доверенное лицо клиента) должен по установленной форме дать согласие на сбор и обработку персональных данных, в том числе в целях противодействия финансированию террористической деятельности и легализации (отмыванию) преступных доходов. Согласие субъекта должно быть выражено в письменной форме на бумажном носителе либо в форме электронного документа, подписанного электронной подписью.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nx__4r-mvjel5cwyx4g5">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Анкеты клиента и бенефициарного владельца обновляются в следующих случаях:</w:t>
      </w:r>
    </w:p>
    <w:p>
      <w:pPr>
        <w:spacing w:after="60"/>
        <w:ind w:firstLine="567"/>
        <w:jc w:val="both"/>
      </w:pPr>
      <w:r>
        <w:rPr>
          <w:rFonts w:ascii="Arial" w:cs="Arial" w:eastAsia="Arial" w:hAnsi="Arial"/>
          <w:sz w:val="24"/>
          <w:szCs w:val="24"/>
        </w:rPr>
        <w:t xml:space="preserve">1) изменение клиентской документации (документы, на основании которых проводилась верификация);</w:t>
      </w:r>
    </w:p>
    <w:p>
      <w:pPr>
        <w:spacing w:after="60"/>
        <w:ind w:firstLine="567"/>
        <w:jc w:val="both"/>
      </w:pPr>
      <w:r>
        <w:rPr>
          <w:rFonts w:ascii="Arial" w:cs="Arial" w:eastAsia="Arial" w:hAnsi="Arial"/>
          <w:sz w:val="24"/>
          <w:szCs w:val="24"/>
        </w:rPr>
        <w:t xml:space="preserve">2) представление клиентом или обнаружение финансовым учреждением и нефинансовой категорией лиц новой информации по анкете клиента и анкете бенефициарного владельца;</w:t>
      </w:r>
    </w:p>
    <w:p>
      <w:pPr>
        <w:spacing w:after="60"/>
        <w:ind w:firstLine="567"/>
        <w:jc w:val="both"/>
      </w:pPr>
      <w:r>
        <w:rPr>
          <w:rFonts w:ascii="Arial" w:cs="Arial" w:eastAsia="Arial" w:hAnsi="Arial"/>
          <w:sz w:val="24"/>
          <w:szCs w:val="24"/>
        </w:rPr>
        <w:t xml:space="preserve">3) наличие разумных оснований в недостаточности информации по существующему клиенту;</w:t>
      </w:r>
    </w:p>
    <w:p>
      <w:pPr>
        <w:spacing w:after="60"/>
        <w:ind w:firstLine="567"/>
        <w:jc w:val="both"/>
      </w:pPr>
      <w:r>
        <w:rPr>
          <w:rFonts w:ascii="Arial" w:cs="Arial" w:eastAsia="Arial" w:hAnsi="Arial"/>
          <w:sz w:val="24"/>
          <w:szCs w:val="24"/>
        </w:rPr>
        <w:t xml:space="preserve">4) истечение срока обновления анкеты (в зависимости от уровня риска).</w:t>
      </w:r>
    </w:p>
    <w:p>
      <w:pPr>
        <w:spacing w:after="60"/>
        <w:ind w:firstLine="567"/>
        <w:jc w:val="both"/>
      </w:pPr>
      <w:r>
        <w:rPr>
          <w:rFonts w:ascii="Arial" w:cs="Arial" w:eastAsia="Arial" w:hAnsi="Arial"/>
          <w:sz w:val="24"/>
          <w:szCs w:val="24"/>
        </w:rPr>
        <w:t xml:space="preserve">56. При заполнении анкет клиента и бенефициарного владельца, компетентный сотрудник(и) финансового учреждения и нефинансовой категории лиц должен (должны) письменно подтвердить, что информация, указанная в анкете клиента, является полной и достоверной.</w:t>
      </w:r>
    </w:p>
    <w:p>
      <w:pPr>
        <w:spacing w:after="60"/>
        <w:ind w:firstLine="567"/>
        <w:jc w:val="both"/>
      </w:pPr>
      <w:r>
        <w:rPr>
          <w:rFonts w:ascii="Arial" w:cs="Arial" w:eastAsia="Arial" w:hAnsi="Arial"/>
          <w:sz w:val="24"/>
          <w:szCs w:val="24"/>
        </w:rPr>
        <w:t xml:space="preserve">57. В случае изменения сведений, содержащихся в анкетах клиента и (или) бенефициарного владельца, клиент обязан предоставить финансовому учреждению и нефинансовой категории лиц обновленную информацию и документы, не позднее пяти рабочих дней со дня происшедших изменений. Финансовым учреждениям и нефинансовым категориям лиц следует внести обновленные сведения в анкеты клиента и (или) бенефициарного владельца, в течение одного рабочего дня с момента получения указанных сведений.</w:t>
      </w:r>
    </w:p>
    <w:p>
      <w:pPr>
        <w:spacing w:after="60"/>
        <w:ind w:firstLine="567"/>
        <w:jc w:val="both"/>
      </w:pPr>
      <w:r>
        <w:rPr>
          <w:rFonts w:ascii="Arial" w:cs="Arial" w:eastAsia="Arial" w:hAnsi="Arial"/>
          <w:sz w:val="24"/>
          <w:szCs w:val="24"/>
        </w:rPr>
        <w:t xml:space="preserve">58. Сведения, указанные в анкетах клиента и бенефициарного владельца, должны фиксироваться и храниться в электронной базе данных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обеспечивают оперативный и постоянный доступ к электронной базе данных клиента и бенефициарного владельца своим сотрудникам, осуществляющим надлежащую проверку клиента, в том числе службе внутреннего контроля.</w:t>
      </w:r>
    </w:p>
    <w:p>
      <w:pPr>
        <w:spacing w:after="60"/>
        <w:ind w:firstLine="567"/>
        <w:jc w:val="both"/>
      </w:pPr>
      <w:r>
        <w:rPr>
          <w:rFonts w:ascii="Arial" w:cs="Arial" w:eastAsia="Arial" w:hAnsi="Arial"/>
          <w:sz w:val="24"/>
          <w:szCs w:val="24"/>
        </w:rPr>
        <w:t xml:space="preserve">59. Финансовые учреждения и нефинансовые категории лиц должны регулярно обновлять сведения, предусмотренные в анкетах клиента и бенефициарного владельца, и копии документов, полученные в ходе надлежащей проверки клиента, в первую очередь, в отношении высокорискованных клиентов или деловых отношений с высоким риском.</w:t>
      </w:r>
    </w:p>
    <w:p>
      <w:pPr>
        <w:spacing w:after="60"/>
        <w:ind w:firstLine="567"/>
        <w:jc w:val="both"/>
      </w:pPr>
      <w:r>
        <w:rPr>
          <w:rFonts w:ascii="Arial" w:cs="Arial" w:eastAsia="Arial" w:hAnsi="Arial"/>
          <w:sz w:val="24"/>
          <w:szCs w:val="24"/>
        </w:rPr>
        <w:t xml:space="preserve">Сроки обновления сведений, предусмотренных в анкетах клиента и бенефициарного владельца, и копий документов, полученных в ходе надлежащей проверки клиента, определяются финансовыми учреждениями и нефинансовыми категориями лиц, с учетом оценки рисков.</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могут обновляться в удаленном режиме путем получения сведений и отсканированных документов от клиента по защищенным и проверенным электронным каналам связи (мобильное приложение/интернет-сервис/электронная почта), в том числе с применением электронной подписи клиента.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несут ответственность за актуальность и достоверность сведений в анкетах клиента, публичного должностного лица и бенефициарного владельца.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e7hsnlqahzztgdmu4v_f">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Финансовые учреждения и нефинансовые категории лиц при заключении договора об установлении деловых отношений с клиентом, должны предусмотреть в договоре обязанность клиента о незамедлительном предоставлении информации и копий документов в случае обновления сведений, указанных в анкетах клиента и (или) бенефициарного владельца.</w:t>
      </w:r>
    </w:p>
    <w:p>
      <w:pPr>
        <w:spacing w:after="60"/>
        <w:ind w:firstLine="567"/>
        <w:jc w:val="both"/>
      </w:pPr>
      <w:r>
        <w:rPr>
          <w:rFonts w:ascii="Arial" w:cs="Arial" w:eastAsia="Arial" w:hAnsi="Arial"/>
          <w:sz w:val="24"/>
          <w:szCs w:val="24"/>
        </w:rPr>
        <w:t xml:space="preserve">61. Финансовые учреждения и нефинансовые категории лиц обязаны хранить сведения и документы в соответствии со </w:t>
      </w:r>
      <w:r>
        <w:rPr>
          <w:rFonts w:ascii="Arial" w:cs="Arial" w:eastAsia="Arial" w:hAnsi="Arial"/>
          <w:sz w:val="24"/>
          <w:szCs w:val="24"/>
        </w:rPr>
        <w:t xml:space="preserve">статьей 22</w:t>
      </w:r>
      <w:hyperlink w:history="1" r:id="rIdi1ag_nneo7v0rgsr3kk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200" w:before="200"/>
        <w:jc w:val="center"/>
      </w:pPr>
      <w:r>
        <w:rPr>
          <w:rFonts w:ascii="Arial" w:cs="Arial" w:eastAsia="Arial" w:hAnsi="Arial"/>
          <w:b/>
          <w:bCs/>
          <w:sz w:val="24"/>
          <w:szCs w:val="24"/>
        </w:rPr>
        <w:t xml:space="preserve">Глава 10. Проведение на постоянной основе надлежащей проверки деловых отношений с клиентом</w:t>
      </w:r>
    </w:p>
    <w:p>
      <w:pPr>
        <w:spacing w:after="60"/>
        <w:ind w:firstLine="567"/>
        <w:jc w:val="both"/>
      </w:pPr>
      <w:r>
        <w:rPr>
          <w:rFonts w:ascii="Arial" w:cs="Arial" w:eastAsia="Arial" w:hAnsi="Arial"/>
          <w:sz w:val="24"/>
          <w:szCs w:val="24"/>
        </w:rPr>
        <w:t xml:space="preserve">62. Финансовые учреждения и нефинансовые категории лиц обязаны применять меры надлежащей проверки клиента на протяжении всего периода деловых отношений с клиентом, исходя из масштаба деловых отношений и уровня риска.</w:t>
      </w:r>
    </w:p>
    <w:p>
      <w:pPr>
        <w:spacing w:after="60"/>
        <w:ind w:firstLine="567"/>
        <w:jc w:val="both"/>
      </w:pPr>
      <w:r>
        <w:rPr>
          <w:rFonts w:ascii="Arial" w:cs="Arial" w:eastAsia="Arial" w:hAnsi="Arial"/>
          <w:sz w:val="24"/>
          <w:szCs w:val="24"/>
        </w:rPr>
        <w:t xml:space="preserve">63. Финансовые учреждения и определенные категории лиц обязаны проводить на постоянной основе надлежащую проверку деловых отношений с клиентом, которая включает следующее:</w:t>
      </w:r>
    </w:p>
    <w:p>
      <w:pPr>
        <w:spacing w:after="60"/>
        <w:ind w:firstLine="567"/>
        <w:jc w:val="both"/>
      </w:pPr>
      <w:r>
        <w:rPr>
          <w:rFonts w:ascii="Arial" w:cs="Arial" w:eastAsia="Arial" w:hAnsi="Arial"/>
          <w:sz w:val="24"/>
          <w:szCs w:val="24"/>
        </w:rPr>
        <w:t xml:space="preserve">1) тщательный анализ операций (сделок), проводимых клиентом, на соответствие имеющейся информации о клиенте, его хозяйственной деятельности, финансовом положении и об источнике средств, а также о характере рисков;</w:t>
      </w:r>
    </w:p>
    <w:p>
      <w:pPr>
        <w:spacing w:after="60"/>
        <w:ind w:firstLine="567"/>
        <w:jc w:val="both"/>
      </w:pPr>
      <w:r>
        <w:rPr>
          <w:rFonts w:ascii="Arial" w:cs="Arial" w:eastAsia="Arial" w:hAnsi="Arial"/>
          <w:sz w:val="24"/>
          <w:szCs w:val="24"/>
        </w:rPr>
        <w:t xml:space="preserve">2) хранение информации и документов, полученных в результате надлежащей проверки клиента, в актуальном состоянии и соответствующем виде, путем проверки и обновления имеющейся информации о клиенте, в первую очередь, в отношении высокорискованных клиентов.</w:t>
      </w:r>
    </w:p>
    <w:p>
      <w:pPr>
        <w:spacing w:after="60"/>
        <w:ind w:firstLine="567"/>
        <w:jc w:val="both"/>
      </w:pPr>
      <w:r>
        <w:rPr>
          <w:rFonts w:ascii="Arial" w:cs="Arial" w:eastAsia="Arial" w:hAnsi="Arial"/>
          <w:sz w:val="24"/>
          <w:szCs w:val="24"/>
        </w:rPr>
        <w:t xml:space="preserve">64. Финансовые учреждения и нефинансовые категории лиц применяют упрощенную или усиленную проверку деловых отношений с клиентом с использованием риск-ориентированного подхода.</w:t>
      </w:r>
    </w:p>
    <w:p>
      <w:pPr>
        <w:spacing w:after="200" w:before="200"/>
        <w:jc w:val="center"/>
      </w:pPr>
      <w:r>
        <w:rPr>
          <w:rFonts w:ascii="Arial" w:cs="Arial" w:eastAsia="Arial" w:hAnsi="Arial"/>
          <w:b/>
          <w:bCs/>
          <w:sz w:val="24"/>
          <w:szCs w:val="24"/>
        </w:rPr>
        <w:t xml:space="preserve">Глава 11. Меры, принимаемые при установлении международных корреспондентских банковских и аналогичных отношений</w:t>
      </w:r>
    </w:p>
    <w:p>
      <w:pPr>
        <w:spacing w:after="60"/>
        <w:ind w:firstLine="567"/>
        <w:jc w:val="both"/>
      </w:pPr>
      <w:r>
        <w:rPr>
          <w:rFonts w:ascii="Arial" w:cs="Arial" w:eastAsia="Arial" w:hAnsi="Arial"/>
          <w:sz w:val="24"/>
          <w:szCs w:val="24"/>
        </w:rPr>
        <w:t xml:space="preserve">65.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следующие дополнительные меры (дополнительно к мерам надлежащей проверки клиента):</w:t>
      </w:r>
    </w:p>
    <w:p>
      <w:pPr>
        <w:spacing w:after="60"/>
        <w:ind w:firstLine="567"/>
        <w:jc w:val="both"/>
      </w:pPr>
      <w:r>
        <w:rPr>
          <w:rFonts w:ascii="Arial" w:cs="Arial" w:eastAsia="Arial" w:hAnsi="Arial"/>
          <w:sz w:val="24"/>
          <w:szCs w:val="24"/>
        </w:rPr>
        <w:t xml:space="preserve">1) собрать информацию о деятельности учреждения-респондента, его финансовом положении и деловой репутации, о качестве надзорной деятельности, а также применении мер воздействия со стороны контролирующего органа или привлечении к ответственности за нарушение законодательства в сфере ПФТД/ЛПД;</w:t>
      </w:r>
    </w:p>
    <w:p>
      <w:pPr>
        <w:spacing w:after="60"/>
        <w:ind w:firstLine="567"/>
        <w:jc w:val="both"/>
      </w:pPr>
      <w:r>
        <w:rPr>
          <w:rFonts w:ascii="Arial" w:cs="Arial" w:eastAsia="Arial" w:hAnsi="Arial"/>
          <w:sz w:val="24"/>
          <w:szCs w:val="24"/>
        </w:rPr>
        <w:t xml:space="preserve">2) провести оценку мер ПФТД/ЛПД, принимаемых учреждением-респондентом;</w:t>
      </w:r>
    </w:p>
    <w:p>
      <w:pPr>
        <w:spacing w:after="60"/>
        <w:ind w:firstLine="567"/>
        <w:jc w:val="both"/>
      </w:pPr>
      <w:r>
        <w:rPr>
          <w:rFonts w:ascii="Arial" w:cs="Arial" w:eastAsia="Arial" w:hAnsi="Arial"/>
          <w:sz w:val="24"/>
          <w:szCs w:val="24"/>
        </w:rPr>
        <w:t xml:space="preserve">3) получить разрешение руководителя финансового учреждения на установление корреспондентских отношений;</w:t>
      </w:r>
    </w:p>
    <w:p>
      <w:pPr>
        <w:spacing w:after="60"/>
        <w:ind w:firstLine="567"/>
        <w:jc w:val="both"/>
      </w:pPr>
      <w:r>
        <w:rPr>
          <w:rFonts w:ascii="Arial" w:cs="Arial" w:eastAsia="Arial" w:hAnsi="Arial"/>
          <w:sz w:val="24"/>
          <w:szCs w:val="24"/>
        </w:rPr>
        <w:t xml:space="preserve">4) определить конкретную ответственность каждой из сторон (учреждения-респондента и учреждения-корреспондента).</w:t>
      </w:r>
    </w:p>
    <w:p>
      <w:pPr>
        <w:spacing w:after="60"/>
        <w:ind w:firstLine="567"/>
        <w:jc w:val="both"/>
      </w:pPr>
      <w:r>
        <w:rPr>
          <w:rFonts w:ascii="Arial" w:cs="Arial" w:eastAsia="Arial" w:hAnsi="Arial"/>
          <w:sz w:val="24"/>
          <w:szCs w:val="24"/>
        </w:rPr>
        <w:t xml:space="preserve">66. В отношении корреспондентских счетов, которые используются непосредственно третьими сторонами для ведения бизнеса от своего имени (далее - сквозные счета), финансовые учреждения обязаны получать удовлетворительное подтверждение того, что учреждение-респондент:</w:t>
      </w:r>
    </w:p>
    <w:p>
      <w:pPr>
        <w:spacing w:after="60"/>
        <w:ind w:firstLine="567"/>
        <w:jc w:val="both"/>
      </w:pPr>
      <w:r>
        <w:rPr>
          <w:rFonts w:ascii="Arial" w:cs="Arial" w:eastAsia="Arial" w:hAnsi="Arial"/>
          <w:sz w:val="24"/>
          <w:szCs w:val="24"/>
        </w:rPr>
        <w:t xml:space="preserve">1) провело надлежащую проверку клиента в отношении своего клиента, имеющего прямой доступ к счетам учреждения-корреспондента;</w:t>
      </w:r>
    </w:p>
    <w:p>
      <w:pPr>
        <w:spacing w:after="60"/>
        <w:ind w:firstLine="567"/>
        <w:jc w:val="both"/>
      </w:pPr>
      <w:r>
        <w:rPr>
          <w:rFonts w:ascii="Arial" w:cs="Arial" w:eastAsia="Arial" w:hAnsi="Arial"/>
          <w:sz w:val="24"/>
          <w:szCs w:val="24"/>
        </w:rPr>
        <w:t xml:space="preserve">2) имеет возможность предоставлять имеющуюся информацию по надлежащей проверке клиента и сквозным счетам, на основе запроса учреждения-корреспондента;</w:t>
      </w:r>
    </w:p>
    <w:p>
      <w:pPr>
        <w:spacing w:after="60"/>
        <w:ind w:firstLine="567"/>
        <w:jc w:val="both"/>
      </w:pPr>
      <w:r>
        <w:rPr>
          <w:rFonts w:ascii="Arial" w:cs="Arial" w:eastAsia="Arial" w:hAnsi="Arial"/>
          <w:sz w:val="24"/>
          <w:szCs w:val="24"/>
        </w:rPr>
        <w:t xml:space="preserve">3) не разрешает использование своих счетов банками-оболочками.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pght-51dqugawn704bvt">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12.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w:t>
      </w:r>
    </w:p>
    <w:p>
      <w:pPr>
        <w:spacing w:after="60"/>
        <w:ind w:firstLine="567"/>
        <w:jc w:val="both"/>
      </w:pPr>
      <w:r>
        <w:rPr>
          <w:rFonts w:ascii="Arial" w:cs="Arial" w:eastAsia="Arial" w:hAnsi="Arial"/>
          <w:sz w:val="24"/>
          <w:szCs w:val="24"/>
        </w:rPr>
        <w:t xml:space="preserve">67. При проведении электронного денежного перевода, финансовые учреждения обязаны:</w:t>
      </w:r>
    </w:p>
    <w:p>
      <w:pPr>
        <w:spacing w:after="60"/>
        <w:ind w:firstLine="567"/>
        <w:jc w:val="both"/>
      </w:pPr>
      <w:r>
        <w:rPr>
          <w:rFonts w:ascii="Arial" w:cs="Arial" w:eastAsia="Arial" w:hAnsi="Arial"/>
          <w:sz w:val="24"/>
          <w:szCs w:val="24"/>
        </w:rPr>
        <w:t xml:space="preserve">1) формировать требуемые сведения об отправителе и получателе денежного перевода;</w:t>
      </w:r>
    </w:p>
    <w:p>
      <w:pPr>
        <w:spacing w:after="60"/>
        <w:ind w:firstLine="567"/>
        <w:jc w:val="both"/>
      </w:pPr>
      <w:r>
        <w:rPr>
          <w:rFonts w:ascii="Arial" w:cs="Arial" w:eastAsia="Arial" w:hAnsi="Arial"/>
          <w:sz w:val="24"/>
          <w:szCs w:val="24"/>
        </w:rPr>
        <w:t xml:space="preserve">2) обеспечивать, чтобы требуемые сведения об отправителе и получателе денежного перевода являлись неотъемлемыми частями электронного денежного перевода и сопровождали электронный денежный перевод в ходе проведения платежа;</w:t>
      </w:r>
    </w:p>
    <w:p>
      <w:pPr>
        <w:spacing w:after="60"/>
        <w:ind w:firstLine="567"/>
        <w:jc w:val="both"/>
      </w:pPr>
      <w:r>
        <w:rPr>
          <w:rFonts w:ascii="Arial" w:cs="Arial" w:eastAsia="Arial" w:hAnsi="Arial"/>
          <w:sz w:val="24"/>
          <w:szCs w:val="24"/>
        </w:rPr>
        <w:t xml:space="preserve">3) осуществлять мониторинг электронных денежных переводов и выявлять электронные денежные переводы, в которых отсутствует информация об отправителе и (или) получателе, и принимать соответствующие меры надлежащей проверки клиента;</w:t>
      </w:r>
    </w:p>
    <w:p>
      <w:pPr>
        <w:spacing w:after="60"/>
        <w:ind w:firstLine="567"/>
        <w:jc w:val="both"/>
      </w:pPr>
      <w:r>
        <w:rPr>
          <w:rFonts w:ascii="Arial" w:cs="Arial" w:eastAsia="Arial" w:hAnsi="Arial"/>
          <w:sz w:val="24"/>
          <w:szCs w:val="24"/>
        </w:rPr>
        <w:t xml:space="preserve">4) проверять отправителя и получателя денежного перевода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5) замораживать или приостанавливать электронный денежный перевод и в течение трех часов сообщать об этом в орган финансовой разведки - в случае наличия отправителя и (или) получателя денежного перевода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68. Информация, сопровождающая международные электронные денежные переводы, должна содержать следующие сведения:</w:t>
      </w:r>
    </w:p>
    <w:p>
      <w:pPr>
        <w:spacing w:after="60"/>
        <w:ind w:firstLine="567"/>
        <w:jc w:val="both"/>
      </w:pPr>
      <w:r>
        <w:rPr>
          <w:rFonts w:ascii="Arial" w:cs="Arial" w:eastAsia="Arial" w:hAnsi="Arial"/>
          <w:sz w:val="24"/>
          <w:szCs w:val="24"/>
        </w:rPr>
        <w:t xml:space="preserve">1) фамилия, имя и отчество отправителя - физического лица или наименование отправителя - юридического лица;</w:t>
      </w:r>
    </w:p>
    <w:p>
      <w:pPr>
        <w:spacing w:after="60"/>
        <w:ind w:firstLine="567"/>
        <w:jc w:val="both"/>
      </w:pPr>
      <w:r>
        <w:rPr>
          <w:rFonts w:ascii="Arial" w:cs="Arial" w:eastAsia="Arial" w:hAnsi="Arial"/>
          <w:sz w:val="24"/>
          <w:szCs w:val="24"/>
        </w:rPr>
        <w:t xml:space="preserve">2) номер счета отправителя (физическое или юридическое лицо), если при осуществлении электронного денежного перевода использовался счет;</w:t>
      </w:r>
    </w:p>
    <w:p>
      <w:pPr>
        <w:spacing w:after="60"/>
        <w:ind w:firstLine="567"/>
        <w:jc w:val="both"/>
      </w:pPr>
      <w:r>
        <w:rPr>
          <w:rFonts w:ascii="Arial" w:cs="Arial" w:eastAsia="Arial" w:hAnsi="Arial"/>
          <w:sz w:val="24"/>
          <w:szCs w:val="24"/>
        </w:rPr>
        <w:t xml:space="preserve">3) паспортные данные отправителя - физического лица или идентификационный номер налогоплательщика, или код иностранной организации отправителя - юридического лица;</w:t>
      </w:r>
    </w:p>
    <w:p>
      <w:pPr>
        <w:spacing w:after="60"/>
        <w:ind w:firstLine="567"/>
        <w:jc w:val="both"/>
      </w:pPr>
      <w:r>
        <w:rPr>
          <w:rFonts w:ascii="Arial" w:cs="Arial" w:eastAsia="Arial" w:hAnsi="Arial"/>
          <w:sz w:val="24"/>
          <w:szCs w:val="24"/>
        </w:rPr>
        <w:t xml:space="preserve">4) идентификационный номер клиента;</w:t>
      </w:r>
    </w:p>
    <w:p>
      <w:pPr>
        <w:spacing w:after="60"/>
        <w:ind w:firstLine="567"/>
        <w:jc w:val="both"/>
      </w:pPr>
      <w:r>
        <w:rPr>
          <w:rFonts w:ascii="Arial" w:cs="Arial" w:eastAsia="Arial" w:hAnsi="Arial"/>
          <w:sz w:val="24"/>
          <w:szCs w:val="24"/>
        </w:rPr>
        <w:t xml:space="preserve">5) фамилия, имя и отчество получателя - физического лица или наименование получателя - юридического лица;</w:t>
      </w:r>
    </w:p>
    <w:p>
      <w:pPr>
        <w:spacing w:after="60"/>
        <w:ind w:firstLine="567"/>
        <w:jc w:val="both"/>
      </w:pPr>
      <w:r>
        <w:rPr>
          <w:rFonts w:ascii="Arial" w:cs="Arial" w:eastAsia="Arial" w:hAnsi="Arial"/>
          <w:sz w:val="24"/>
          <w:szCs w:val="24"/>
        </w:rPr>
        <w:t xml:space="preserve">6) номер счета получателя,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При отсутствии счета указывается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Финансовое учреждение, осуществляющее международный электронный денежный перевод, проверяет вышеуказанные сведения, касающиеся клиента, при наличии подозрения в финансировании террористической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69. В случае объединения международных электронных переводов одного отправителя в пакетный файл для передачи получателям, пакетный файл должен содержать информацию, указанную в пункте 68 настоящего Положения.</w:t>
      </w:r>
    </w:p>
    <w:p>
      <w:pPr>
        <w:spacing w:after="60"/>
        <w:ind w:firstLine="567"/>
        <w:jc w:val="both"/>
      </w:pPr>
      <w:r>
        <w:rPr>
          <w:rFonts w:ascii="Arial" w:cs="Arial" w:eastAsia="Arial" w:hAnsi="Arial"/>
          <w:sz w:val="24"/>
          <w:szCs w:val="24"/>
        </w:rPr>
        <w:t xml:space="preserve">70. Информация, сопровождающая электронные денежные переводы внутри Кыргызской Республики, должна содержать:</w:t>
      </w:r>
    </w:p>
    <w:p>
      <w:pPr>
        <w:spacing w:after="60"/>
        <w:ind w:firstLine="567"/>
        <w:jc w:val="both"/>
      </w:pPr>
      <w:r>
        <w:rPr>
          <w:rFonts w:ascii="Arial" w:cs="Arial" w:eastAsia="Arial" w:hAnsi="Arial"/>
          <w:sz w:val="24"/>
          <w:szCs w:val="24"/>
        </w:rPr>
        <w:t xml:space="preserve">1) фамилию, имя и отчество отправителя - физического лица или наименование отправителя - юридического лица либо номер счета отправителя (физическое или юридическое лицо), если при осуществлении электронного денежного перевода использовался счет или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2) фамилию, имя и отчество получателя - физического лица или наименование получателя - юридического лица либо номер счета получателя (физическое или юридическое лицо),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71. Финансовое учреждение, отправляющее электронный денежный перевод, обязано:</w:t>
      </w:r>
    </w:p>
    <w:p>
      <w:pPr>
        <w:spacing w:after="60"/>
        <w:ind w:firstLine="567"/>
        <w:jc w:val="both"/>
      </w:pPr>
      <w:r>
        <w:rPr>
          <w:rFonts w:ascii="Arial" w:cs="Arial" w:eastAsia="Arial" w:hAnsi="Arial"/>
          <w:sz w:val="24"/>
          <w:szCs w:val="24"/>
        </w:rPr>
        <w:t xml:space="preserve">1) обеспечить сопровождение электронного денежного перевода полной информацией, указанной в пунктах 68-70 настоящего Положения;</w:t>
      </w:r>
    </w:p>
    <w:p>
      <w:pPr>
        <w:spacing w:after="60"/>
        <w:ind w:firstLine="567"/>
        <w:jc w:val="both"/>
      </w:pPr>
      <w:r>
        <w:rPr>
          <w:rFonts w:ascii="Arial" w:cs="Arial" w:eastAsia="Arial" w:hAnsi="Arial"/>
          <w:sz w:val="24"/>
          <w:szCs w:val="24"/>
        </w:rPr>
        <w:t xml:space="preserve">2) не осуществлять электронный денежный перевод, если отсутствует сопровождающая информация, указанные в пунктах 68-70 настоящего Положения.</w:t>
      </w:r>
    </w:p>
    <w:p>
      <w:pPr>
        <w:spacing w:after="60"/>
        <w:ind w:firstLine="567"/>
        <w:jc w:val="both"/>
      </w:pPr>
      <w:r>
        <w:rPr>
          <w:rFonts w:ascii="Arial" w:cs="Arial" w:eastAsia="Arial" w:hAnsi="Arial"/>
          <w:sz w:val="24"/>
          <w:szCs w:val="24"/>
        </w:rPr>
        <w:t xml:space="preserve">72. Финансовое учреждение, через которое транзитом осуществляется электронный денежный перевод (транзитное финансовое учреждение), обязано:</w:t>
      </w:r>
    </w:p>
    <w:p>
      <w:pPr>
        <w:spacing w:after="60"/>
        <w:ind w:firstLine="567"/>
        <w:jc w:val="both"/>
      </w:pPr>
      <w:r>
        <w:rPr>
          <w:rFonts w:ascii="Arial" w:cs="Arial" w:eastAsia="Arial" w:hAnsi="Arial"/>
          <w:sz w:val="24"/>
          <w:szCs w:val="24"/>
        </w:rPr>
        <w:t xml:space="preserve">1) принять меры для выявления электронного денежного перевода, в котором отсутствует требуемая информация об отправителе и получателе;</w:t>
      </w:r>
    </w:p>
    <w:p>
      <w:pPr>
        <w:spacing w:after="60"/>
        <w:ind w:firstLine="567"/>
        <w:jc w:val="both"/>
      </w:pPr>
      <w:r>
        <w:rPr>
          <w:rFonts w:ascii="Arial" w:cs="Arial" w:eastAsia="Arial" w:hAnsi="Arial"/>
          <w:sz w:val="24"/>
          <w:szCs w:val="24"/>
        </w:rPr>
        <w:t xml:space="preserve">2) иметь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w:t>
      </w:r>
    </w:p>
    <w:p>
      <w:pPr>
        <w:spacing w:after="60"/>
        <w:ind w:firstLine="567"/>
        <w:jc w:val="both"/>
      </w:pPr>
      <w:r>
        <w:rPr>
          <w:rFonts w:ascii="Arial" w:cs="Arial" w:eastAsia="Arial" w:hAnsi="Arial"/>
          <w:sz w:val="24"/>
          <w:szCs w:val="24"/>
        </w:rPr>
        <w:t xml:space="preserve">73. Финансовое учреждение, получающее электронный денежный перевод, обязано:</w:t>
      </w:r>
    </w:p>
    <w:p>
      <w:pPr>
        <w:spacing w:after="60"/>
        <w:ind w:firstLine="567"/>
        <w:jc w:val="both"/>
      </w:pPr>
      <w:r>
        <w:rPr>
          <w:rFonts w:ascii="Arial" w:cs="Arial" w:eastAsia="Arial" w:hAnsi="Arial"/>
          <w:sz w:val="24"/>
          <w:szCs w:val="24"/>
        </w:rPr>
        <w:t xml:space="preserve">1) проверить и выявить электронные денежные переводы, в которых отсутствует необходимая информация об отправителе и получателе;</w:t>
      </w:r>
    </w:p>
    <w:p>
      <w:pPr>
        <w:spacing w:after="60"/>
        <w:ind w:firstLine="567"/>
        <w:jc w:val="both"/>
      </w:pPr>
      <w:r>
        <w:rPr>
          <w:rFonts w:ascii="Arial" w:cs="Arial" w:eastAsia="Arial" w:hAnsi="Arial"/>
          <w:sz w:val="24"/>
          <w:szCs w:val="24"/>
        </w:rPr>
        <w:t xml:space="preserve">2) установить и проверить личность получателя электронного денежного перевода, если ранее не проверялась;</w:t>
      </w:r>
    </w:p>
    <w:p>
      <w:pPr>
        <w:spacing w:after="60"/>
        <w:ind w:firstLine="567"/>
        <w:jc w:val="both"/>
      </w:pPr>
      <w:r>
        <w:rPr>
          <w:rFonts w:ascii="Arial" w:cs="Arial" w:eastAsia="Arial" w:hAnsi="Arial"/>
          <w:sz w:val="24"/>
          <w:szCs w:val="24"/>
        </w:rPr>
        <w:t xml:space="preserve">3) применять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 по возращению электронного денежного перевода.</w:t>
      </w:r>
    </w:p>
    <w:p>
      <w:pPr>
        <w:spacing w:after="60"/>
        <w:ind w:firstLine="567"/>
        <w:jc w:val="both"/>
      </w:pPr>
      <w:r>
        <w:rPr>
          <w:rFonts w:ascii="Arial" w:cs="Arial" w:eastAsia="Arial" w:hAnsi="Arial"/>
          <w:sz w:val="24"/>
          <w:szCs w:val="24"/>
        </w:rPr>
        <w:t xml:space="preserve">74. Финансовое учреждение, отправляющее или получающее электронный денежный перевод, или через которое транзитом проводится электронный денежный перевод (транзитное финансовое учреждение),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Данная информация должна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случаях когда технические средства не позволяют сохранить полную информацию об отправителе и получателе, сопровождающую электронный денежный перевод, получающее транзитное финансовое учреждение обязано не менее пяти лет хранить запись всей информации, полученной от отправлявшего финансового учреждения или транзитного финансового учреждения.</w:t>
      </w:r>
    </w:p>
    <w:p>
      <w:pPr>
        <w:spacing w:after="60"/>
        <w:ind w:firstLine="567"/>
        <w:jc w:val="both"/>
      </w:pPr>
      <w:r>
        <w:rPr>
          <w:rFonts w:ascii="Arial" w:cs="Arial" w:eastAsia="Arial" w:hAnsi="Arial"/>
          <w:sz w:val="24"/>
          <w:szCs w:val="24"/>
        </w:rPr>
        <w:t xml:space="preserve">75. Информация об отправителе и получателе электронных денежных переводов предоставляется по требованию:</w:t>
      </w:r>
    </w:p>
    <w:p>
      <w:pPr>
        <w:spacing w:after="60"/>
        <w:ind w:firstLine="567"/>
        <w:jc w:val="both"/>
      </w:pPr>
      <w:r>
        <w:rPr>
          <w:rFonts w:ascii="Arial" w:cs="Arial" w:eastAsia="Arial" w:hAnsi="Arial"/>
          <w:sz w:val="24"/>
          <w:szCs w:val="24"/>
        </w:rPr>
        <w:t xml:space="preserve">1) органа финансовой разведки и соответствующего проверяющего органа;</w:t>
      </w:r>
    </w:p>
    <w:p>
      <w:pPr>
        <w:spacing w:after="60"/>
        <w:ind w:firstLine="567"/>
        <w:jc w:val="both"/>
      </w:pPr>
      <w:r>
        <w:rPr>
          <w:rFonts w:ascii="Arial" w:cs="Arial" w:eastAsia="Arial" w:hAnsi="Arial"/>
          <w:sz w:val="24"/>
          <w:szCs w:val="24"/>
        </w:rPr>
        <w:t xml:space="preserve">2) правоохранительного органа, органа национальной безопасности, органа прокуратуры Кыргызской Республики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отправляющего, транзитного и получающего финансового учреждения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60"/>
        <w:ind w:firstLine="567"/>
        <w:jc w:val="both"/>
      </w:pPr>
      <w:r>
        <w:rPr>
          <w:rFonts w:ascii="Arial" w:cs="Arial" w:eastAsia="Arial" w:hAnsi="Arial"/>
          <w:sz w:val="24"/>
          <w:szCs w:val="24"/>
        </w:rPr>
        <w:t xml:space="preserve">Информация об отправителе и получателе электронных денежных переводов по запросу субъектов, указанных в данном пункте, предоставляется в течение трех рабочих дней после получения запроса, в том числе в электронном формате.</w:t>
      </w:r>
    </w:p>
    <w:p>
      <w:pPr>
        <w:spacing w:after="60"/>
        <w:ind w:firstLine="567"/>
        <w:jc w:val="both"/>
      </w:pPr>
      <w:r>
        <w:rPr>
          <w:rFonts w:ascii="Arial" w:cs="Arial" w:eastAsia="Arial" w:hAnsi="Arial"/>
          <w:sz w:val="24"/>
          <w:szCs w:val="24"/>
        </w:rPr>
        <w:t xml:space="preserve">В случае необходимости дополнительного времени для формирования запрашиваемой информации следует направить обоснованное письменное обращение о продлении срока представления запрашиваемой информации на срок до 10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q_s9cslf_1ahecmaztso">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В случае если операторы, предоставляющие услуги по переводу денег и ценностей, контролирующие отправляющую и (или) получающую стороны электронного денежного перевода, обнаруживают подозрительный электронный денежный перевод, данные операторы обязаны в течение пяти часов направить сообщение о подозрительной операции и соответствующую информацию об электронном денежном переводе в орган финансовой разведки любой страны, с которой связан подозрительный электронный денежный перевод.</w:t>
      </w:r>
    </w:p>
    <w:p>
      <w:pPr>
        <w:spacing w:after="60"/>
        <w:ind w:firstLine="567"/>
        <w:jc w:val="both"/>
      </w:pPr>
      <w:r>
        <w:rPr>
          <w:rFonts w:ascii="Arial" w:cs="Arial" w:eastAsia="Arial" w:hAnsi="Arial"/>
          <w:sz w:val="24"/>
          <w:szCs w:val="24"/>
        </w:rPr>
        <w:t xml:space="preserve">Порядок регулирования деятельности операторов, предоставляющих услуги по переводу денег и ценностей, определяется законодательством Кыргызской Республики о платежной системе.</w:t>
      </w:r>
    </w:p>
    <w:p>
      <w:pPr>
        <w:spacing w:after="60"/>
        <w:ind w:firstLine="567"/>
        <w:jc w:val="both"/>
      </w:pPr>
      <w:r>
        <w:rPr>
          <w:rFonts w:ascii="Arial" w:cs="Arial" w:eastAsia="Arial" w:hAnsi="Arial"/>
          <w:sz w:val="24"/>
          <w:szCs w:val="24"/>
        </w:rPr>
        <w:t xml:space="preserve">77. Нормы, предусмотренные в пунктах 67-76 настоящего Положения, не применяются к следующим операциям:</w:t>
      </w:r>
    </w:p>
    <w:p>
      <w:pPr>
        <w:spacing w:after="60"/>
        <w:ind w:firstLine="567"/>
        <w:jc w:val="both"/>
      </w:pPr>
      <w:r>
        <w:rPr>
          <w:rFonts w:ascii="Arial" w:cs="Arial" w:eastAsia="Arial" w:hAnsi="Arial"/>
          <w:sz w:val="24"/>
          <w:szCs w:val="24"/>
        </w:rPr>
        <w:t xml:space="preserve">1) любой электронный денежный перевод, осуществляемый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В случае если кредитные, дебетовые или карты предоплаты используются в качестве платежного средства для осуществления электронных денежных переводов между физическими лицами, эта операция является электронным денежным переводом;</w:t>
      </w:r>
    </w:p>
    <w:p>
      <w:pPr>
        <w:spacing w:after="60"/>
        <w:ind w:firstLine="567"/>
        <w:jc w:val="both"/>
      </w:pPr>
      <w:r>
        <w:rPr>
          <w:rFonts w:ascii="Arial" w:cs="Arial" w:eastAsia="Arial" w:hAnsi="Arial"/>
          <w:sz w:val="24"/>
          <w:szCs w:val="24"/>
        </w:rPr>
        <w:t xml:space="preserve">2) переводы и расчеты между самими финансовыми учреждениями, если и отправитель, и получатель являются финансовыми учреждениями, действующими от своего имени.</w:t>
      </w:r>
    </w:p>
    <w:p>
      <w:pPr>
        <w:spacing w:after="200" w:before="200"/>
        <w:jc w:val="center"/>
      </w:pPr>
      <w:r>
        <w:rPr>
          <w:rFonts w:ascii="Arial" w:cs="Arial" w:eastAsia="Arial" w:hAnsi="Arial"/>
          <w:b/>
          <w:bCs/>
          <w:sz w:val="24"/>
          <w:szCs w:val="24"/>
        </w:rPr>
        <w:t xml:space="preserve">Глава 13. Заключительные положения</w:t>
      </w:r>
    </w:p>
    <w:p>
      <w:pPr>
        <w:spacing w:after="60"/>
        <w:ind w:firstLine="567"/>
        <w:jc w:val="both"/>
      </w:pPr>
      <w:r>
        <w:rPr>
          <w:rFonts w:ascii="Arial" w:cs="Arial" w:eastAsia="Arial" w:hAnsi="Arial"/>
          <w:sz w:val="24"/>
          <w:szCs w:val="24"/>
        </w:rPr>
        <w:t xml:space="preserve">78. Финансовые учреждения и нефинансовые категории лиц обязаны в течение шести месяцев обеспечить исполнение норм настоящего Положения в отношении клиентов, находящихся у них на обслуживании на день вступления в силу настоящего Положения, с учетом их значимости и рисков.</w:t>
      </w:r>
    </w:p>
    <w:p>
      <w:pPr>
        <w:spacing w:after="60"/>
        <w:ind w:firstLine="567"/>
        <w:jc w:val="both"/>
      </w:pPr>
      <w:r>
        <w:rPr>
          <w:rFonts w:ascii="Arial" w:cs="Arial" w:eastAsia="Arial" w:hAnsi="Arial"/>
          <w:sz w:val="24"/>
          <w:szCs w:val="24"/>
        </w:rPr>
        <w:t xml:space="preserve">79. Финансовые учреждения и нефинансовые категории лиц обязаны представить в орган финансовой разведки заполненные анкеты национальных публичных должностных лиц, являющихся клиентами или бенефициарными владельцами, в течение шести месяцев со дня вступления в силу настоящего Положения.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i/>
          <w:iCs/>
          <w:sz w:val="24"/>
          <w:szCs w:val="24"/>
        </w:rPr>
        <w:t xml:space="preserve">к Положению о порядке проведения надлежащей проверки клиента</w:t>
      </w:r>
    </w:p>
    <w:p>
      <w:pPr>
        <w:spacing w:after="400" w:before="400"/>
        <w:jc w:val="center"/>
      </w:pPr>
      <w:r>
        <w:rPr>
          <w:rFonts w:ascii="Arial" w:cs="Arial" w:eastAsia="Arial" w:hAnsi="Arial"/>
          <w:b/>
          <w:bCs/>
          <w:sz w:val="32"/>
          <w:szCs w:val="32"/>
        </w:rPr>
        <w:t xml:space="preserve">ТИПОВАЯ ФОРМА
 анкеты клиента - физического лица</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phwd3sajc89apo0lgjdd_">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Номера телефонов (домашний,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Заполняется только для иностранных граждан и лиц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Наименование документа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Сведения о деловом профиле клиента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клиент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у клиента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клиента,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Заполняется только для индивидуального предпринимателя</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регистрации в качестве индивидуального предпринимателя:</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Дата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Государственный регистрационный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патенте или лицензии: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Вид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Дата выдачи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Кем выдан патент или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Срок действия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 Перечень видов разрешенной или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Информация о верификации, проверке и уровне риска клиента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о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групп и организаций, в отношении которых имеются сведения об их участии в легализации (отмывании) преступных доходов,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Дата:</w:t>
            </w:r>
          </w:p>
        </w:tc>
      </w:tr>
    </w:tbl>
    <w:p>
      <w:pPr>
        <w:spacing w:after="60" w:before="120"/>
        <w:ind w:firstLine="567"/>
        <w:jc w:val="both"/>
      </w:pPr>
      <w:r>
        <w:rPr>
          <w:rFonts w:ascii="Arial" w:cs="Arial" w:eastAsia="Arial" w:hAnsi="Arial"/>
          <w:sz w:val="24"/>
          <w:szCs w:val="24"/>
        </w:rPr>
        <w:t xml:space="preserve">Настоящим я, 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tlc_p9uk2-bmuzipsnsw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r>
        <w:rPr>
          <w:rFonts w:ascii="Arial" w:cs="Arial" w:eastAsia="Arial" w:hAnsi="Arial"/>
          <w:i/>
          <w:iCs/>
          <w:sz w:val="24"/>
          <w:szCs w:val="24"/>
        </w:rPr>
        <w:t xml:space="preserve">к Положению о порядке проведения надлежащей проверки клиента</w:t>
      </w:r>
    </w:p>
    <w:p>
      <w:pPr>
        <w:spacing w:after="60" w:before="200"/>
        <w:jc w:val="center"/>
      </w:pPr>
      <w:r>
        <w:rPr>
          <w:rFonts w:ascii="Arial" w:cs="Arial" w:eastAsia="Arial" w:hAnsi="Arial"/>
          <w:b/>
          <w:bCs/>
          <w:sz w:val="28"/>
          <w:szCs w:val="28"/>
        </w:rPr>
        <w:t xml:space="preserve">ТИПОВАЯ ФОРМА
 анкеты клиента - юридического лица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rsg2wja3mgg7lto4ci-_z">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на иностранном языке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или код иностранной организации для нерезидента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государственной регистрации: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Дата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Место регистрации (юридический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Социального фонда Кыргызской Республики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(характер)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идентификационный код (для коммерческих банков-резидентов)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Адрес фактического местонахождения и почтовый адрес (заполняется в случае если фактическое местонахождение отличается от юридического адреса)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Сведения, относящиеся к уставным документам клиента - юридического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органах юридического лица (структура и персональный состав органов управления юридического лица):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Наименование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ФИО членов органа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Должностные лица, имеющие право подписи (доверенные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величине зарегистрированного и оплаченного уставного (складочного) капитала или величине уставного фонда, имущества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на территории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филиалах и представительствах юридического лица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бенефициарном владельце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p>
            <w:pPr>
              <w:jc w:val="left"/>
            </w:pPr>
            <w:r>
              <w:rPr>
                <w:rFonts w:ascii="Arial" w:cs="Arial" w:eastAsia="Arial" w:hAnsi="Arial"/>
                <w:sz w:val="24"/>
                <w:szCs w:val="24"/>
              </w:rPr>
              <w:t xml:space="preserve">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публичного должностного лица (ПДЛ) в структуре собственности (управления) клиента -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Сведения о деловом профиле клиента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лицензии на право осуществления деятельности, подлежащей лицензированию (при наличии):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Вид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Дата выдачи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Кем выдана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Срок действия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 Перечень видов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виды деятельности, в том числе, производимые товары, выполняемые работы, предоставляемые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Информация о верификации, проверке и уровне риска клиента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групп и организаций, в отношении которых имеются сведения об их участии в легализации (отмывании) преступных доходов, и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before="120"/>
        <w:ind w:firstLine="567"/>
        <w:jc w:val="both"/>
      </w:pPr>
      <w:r>
        <w:rPr>
          <w:rFonts w:ascii="Arial" w:cs="Arial" w:eastAsia="Arial" w:hAnsi="Arial"/>
          <w:sz w:val="24"/>
          <w:szCs w:val="24"/>
        </w:rPr>
        <w:t xml:space="preserve">Настоящим я, 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gleve1qvudz1bh4vper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r>
        <w:rPr>
          <w:rFonts w:ascii="Arial" w:cs="Arial" w:eastAsia="Arial" w:hAnsi="Arial"/>
          <w:i/>
          <w:iCs/>
          <w:sz w:val="24"/>
          <w:szCs w:val="24"/>
        </w:rPr>
        <w:t xml:space="preserve">к Положению о порядке проведения надлежащей проверки клиента</w:t>
      </w:r>
    </w:p>
    <w:p>
      <w:pPr>
        <w:spacing w:after="400" w:before="400"/>
        <w:jc w:val="center"/>
      </w:pPr>
      <w:r>
        <w:rPr>
          <w:rFonts w:ascii="Arial" w:cs="Arial" w:eastAsia="Arial" w:hAnsi="Arial"/>
          <w:b/>
          <w:bCs/>
          <w:sz w:val="28"/>
          <w:szCs w:val="28"/>
        </w:rPr>
        <w:t xml:space="preserve">ТИПОВАЯ ФОРМА</w:t>
      </w:r>
      <w:r>
        <w:rPr>
          <w:rFonts w:ascii="Arial" w:cs="Arial" w:eastAsia="Arial" w:hAnsi="Arial"/>
          <w:b/>
          <w:bCs/>
          <w:sz w:val="28"/>
          <w:szCs w:val="28"/>
        </w:rPr>
        <w:t xml:space="preserve">
 анкеты бенефициарного владельца</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vpwhr4i3ftapgsfjrx2mq">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 </w:t>
            </w:r>
            <w:r>
              <w:rPr>
                <w:rFonts w:ascii="Arial" w:cs="Arial" w:eastAsia="Arial" w:hAnsi="Arial"/>
                <w:sz w:val="24"/>
                <w:szCs w:val="24"/>
              </w:rPr>
              <w:t xml:space="preserve">(нужное подчеркнуть)</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Общие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Бенефициарный владелец клиента - юридического лица;</w:t>
            </w:r>
          </w:p>
          <w:p>
            <w:pPr>
              <w:jc w:val="left"/>
            </w:pPr>
            <w:r>
              <w:rPr>
                <w:rFonts w:ascii="Arial" w:cs="Arial" w:eastAsia="Arial" w:hAnsi="Arial"/>
                <w:sz w:val="24"/>
                <w:szCs w:val="24"/>
              </w:rPr>
              <w:t xml:space="preserve">2) Бенефициарный владелец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клиента, действующего в интересах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полное наименование и ИНН (КИО) клиента - юридического лица или ФИО и ИНН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анкеты клиента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для признания физического лица в качестве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в конечном счете, прямо или косвенно (через третьих лиц) владеет или осуществляет контроль над клиентом - юридическим лицом либо пользуется преимуществами владения (управления) капиталом или активами клиента - юридического лица (имеет преобладающее участие (более 25%) в уставном капитале клиента - юридического лица или владеет более 25% общего числа акций клиента - юридического лица с правом голоса).</w:t>
            </w:r>
          </w:p>
          <w:p>
            <w:pPr>
              <w:jc w:val="left"/>
            </w:pPr>
            <w:r>
              <w:rPr>
                <w:rFonts w:ascii="Arial" w:cs="Arial" w:eastAsia="Arial" w:hAnsi="Arial"/>
                <w:sz w:val="24"/>
                <w:szCs w:val="24"/>
              </w:rPr>
              <w:t xml:space="preserve">(Если владение косвенно (через третьих лиц), необходимо указать взаимосвязь)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Физическое лицо, от имени и/или за счет которого клиентом совершается операция (сделка) с денежными средствами или имуществом, в том числе в случае когда указанное физическое лицо не имеет права собственности на денежные средства или имущество, а также не контролирует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w:t>
            </w:r>
          </w:p>
          <w:p>
            <w:pPr>
              <w:jc w:val="left"/>
            </w:pPr>
            <w:r>
              <w:rPr>
                <w:rFonts w:ascii="Arial" w:cs="Arial" w:eastAsia="Arial" w:hAnsi="Arial"/>
                <w:sz w:val="24"/>
                <w:szCs w:val="24"/>
              </w:rPr>
              <w:t xml:space="preserve">(В данном случае укажите номер и дату договора, срок действия, предмет договора, иные существенные условия)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Физическое лицо обладает правом собственности на денежные средства или имущество, с которыми осуществляется операция (сделка)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Физическое лицо выступает в роли доверительного собственника (управляющего) определенного траста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Физическое лицо обладает возможностью контролировать действия клиента иным способом.</w:t>
            </w:r>
          </w:p>
          <w:p>
            <w:pPr>
              <w:jc w:val="left"/>
            </w:pPr>
            <w:r>
              <w:rPr>
                <w:rFonts w:ascii="Arial" w:cs="Arial" w:eastAsia="Arial" w:hAnsi="Arial"/>
                <w:sz w:val="24"/>
                <w:szCs w:val="24"/>
              </w:rPr>
              <w:t xml:space="preserve">(В данном случае укажите причину, по которой бенефициарный владелец имеет возможность контролировать действия клиента (разъяснение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Иные факторы (по усмотрению клиента)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 в уставном капитале юридического лица, участником (акционером) которого является бенефициарный владелец - физическое лицо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влияния бенефициарного владельца (для клиента - физического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Родитель</w:t>
            </w:r>
          </w:p>
          <w:p>
            <w:pPr>
              <w:jc w:val="left"/>
            </w:pPr>
            <w:r>
              <w:rPr>
                <w:rFonts w:ascii="Arial" w:cs="Arial" w:eastAsia="Arial" w:hAnsi="Arial"/>
                <w:sz w:val="24"/>
                <w:szCs w:val="24"/>
              </w:rPr>
              <w:t xml:space="preserve">2) Усыновитель</w:t>
            </w:r>
          </w:p>
          <w:p>
            <w:pPr>
              <w:jc w:val="left"/>
            </w:pPr>
            <w:r>
              <w:rPr>
                <w:rFonts w:ascii="Arial" w:cs="Arial" w:eastAsia="Arial" w:hAnsi="Arial"/>
                <w:sz w:val="24"/>
                <w:szCs w:val="24"/>
              </w:rPr>
              <w:t xml:space="preserve">3) Опекун</w:t>
            </w:r>
          </w:p>
          <w:p>
            <w:pPr>
              <w:jc w:val="left"/>
            </w:pPr>
            <w:r>
              <w:rPr>
                <w:rFonts w:ascii="Arial" w:cs="Arial" w:eastAsia="Arial" w:hAnsi="Arial"/>
                <w:sz w:val="24"/>
                <w:szCs w:val="24"/>
              </w:rPr>
              <w:t xml:space="preserve">4) Попечитель</w:t>
            </w:r>
          </w:p>
          <w:p>
            <w:pPr>
              <w:jc w:val="left"/>
            </w:pPr>
            <w:r>
              <w:rPr>
                <w:rFonts w:ascii="Arial" w:cs="Arial" w:eastAsia="Arial" w:hAnsi="Arial"/>
                <w:sz w:val="24"/>
                <w:szCs w:val="24"/>
              </w:rPr>
              <w:t xml:space="preserve">5) Другое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финансового учреждения и нефинансовой категории лиц о признании физического лица - бенефициарным владельцем клиента и обоснование принятого решения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указанное в данной анкете, является бенефициарным владельцем клиента;</w:t>
            </w:r>
          </w:p>
          <w:p>
            <w:pPr>
              <w:jc w:val="left"/>
            </w:pPr>
            <w:r>
              <w:rPr>
                <w:rFonts w:ascii="Arial" w:cs="Arial" w:eastAsia="Arial" w:hAnsi="Arial"/>
                <w:sz w:val="24"/>
                <w:szCs w:val="24"/>
              </w:rPr>
              <w:t xml:space="preserve">2) Бенефициарный владелец клиента не выявлен по следующим причинам:</w:t>
            </w:r>
          </w:p>
          <w:p>
            <w:pPr>
              <w:jc w:val="left"/>
            </w:pPr>
            <w:r>
              <w:rPr>
                <w:rFonts w:ascii="Arial" w:cs="Arial" w:eastAsia="Arial" w:hAnsi="Arial"/>
                <w:sz w:val="24"/>
                <w:szCs w:val="24"/>
              </w:rPr>
              <w:t xml:space="preserve">а) у клиента реально отсутствует бенефициарный владелец;</w:t>
            </w:r>
          </w:p>
          <w:p>
            <w:pPr>
              <w:jc w:val="left"/>
            </w:pPr>
            <w:r>
              <w:rPr>
                <w:rFonts w:ascii="Arial" w:cs="Arial" w:eastAsia="Arial" w:hAnsi="Arial"/>
                <w:sz w:val="24"/>
                <w:szCs w:val="24"/>
              </w:rPr>
              <w:t xml:space="preserve">б) у клиента отсутствует информация о его бенефициарном владельце;</w:t>
            </w:r>
          </w:p>
          <w:p>
            <w:pPr>
              <w:jc w:val="left"/>
            </w:pPr>
            <w:r>
              <w:rPr>
                <w:rFonts w:ascii="Arial" w:cs="Arial" w:eastAsia="Arial" w:hAnsi="Arial"/>
                <w:sz w:val="24"/>
                <w:szCs w:val="24"/>
              </w:rPr>
              <w:t xml:space="preserve">в) клиент отказывает в предоставлении сведений о своем бенефициарном владельце;</w:t>
            </w:r>
          </w:p>
          <w:p>
            <w:pPr>
              <w:jc w:val="left"/>
            </w:pPr>
            <w:r>
              <w:rPr>
                <w:rFonts w:ascii="Arial" w:cs="Arial" w:eastAsia="Arial" w:hAnsi="Arial"/>
                <w:sz w:val="24"/>
                <w:szCs w:val="24"/>
              </w:rPr>
              <w:t xml:space="preserve">г) отсутствует информация о бенефициарном владельце клиента в общедоступных источниках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Заполняется только для бенефициарного владельца, являющегося иностранным гражданином или лицом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бенефициарный владелец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Информация о верификации и проверке бенефициарного владельца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Перечне лиц, групп и организаций, в отношении которых имеются сведения об их участии в легализации (отмывании) преступных доходов,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Перечне физических лиц, отбывавших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before="120"/>
        <w:ind w:firstLine="567"/>
        <w:jc w:val="both"/>
      </w:pPr>
      <w:r>
        <w:rPr>
          <w:rFonts w:ascii="Arial" w:cs="Arial" w:eastAsia="Arial" w:hAnsi="Arial"/>
          <w:sz w:val="24"/>
          <w:szCs w:val="24"/>
        </w:rPr>
        <w:t xml:space="preserve">Настоящим я, 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spn2yx0sixec_fm3wwy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w:t>
      </w:r>
      <w:r>
        <w:rPr>
          <w:rFonts w:ascii="Arial" w:cs="Arial" w:eastAsia="Arial" w:hAnsi="Arial"/>
          <w:i/>
          <w:iCs/>
          <w:sz w:val="24"/>
          <w:szCs w:val="24"/>
        </w:rPr>
        <w:t xml:space="preserve">к Положению о порядке проведения надлежащей проверки клиента</w:t>
      </w:r>
    </w:p>
    <w:p>
      <w:pPr>
        <w:spacing w:after="400" w:before="400"/>
        <w:jc w:val="center"/>
      </w:pPr>
      <w:r>
        <w:rPr>
          <w:rFonts w:ascii="Arial" w:cs="Arial" w:eastAsia="Arial" w:hAnsi="Arial"/>
          <w:b/>
          <w:bCs/>
          <w:sz w:val="28"/>
          <w:szCs w:val="28"/>
        </w:rPr>
        <w:t xml:space="preserve">ТИПОВАЯ ФОРМА</w:t>
      </w:r>
      <w:r>
        <w:rPr>
          <w:rFonts w:ascii="Arial" w:cs="Arial" w:eastAsia="Arial" w:hAnsi="Arial"/>
          <w:b/>
          <w:bCs/>
          <w:sz w:val="28"/>
          <w:szCs w:val="28"/>
        </w:rPr>
        <w:t xml:space="preserve">
 анкеты публичного должностного лица</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iabqoy4rwxc68tfoemj9-">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4"/>
        <w:gridCol w:w="3374"/>
        <w:gridCol w:w="3374"/>
        <w:gridCol w:w="57"/>
      </w:tblGrid>
      <w:tr>
        <w:tc>
          <w:tcPr>
            <w:tcW w:type="dxa" w:w="10122"/>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4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Идентификационные сведения</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(нужное подчеркнуть)</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Наименование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Серия и номер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Дата выдачи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Дата окончания срока действия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Наименование органа, выдавшего документ</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Код подразделения (если имеется)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банковского счета (при наличии)</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(со слов клиента или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Сведения о деловом профиле публичного должностного лица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Сведения о занимаемой должности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Дата назначения на должность</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Дата освобождения от должности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источнике происхождения денежных средств и имущества публичного должностного лица</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письменном разрешении по принятию на обслуживание публичного должностного лица</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Идентификационные сведения о членах семьи публичного должностного лица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родства (нужное подчеркнуть)</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Супруг (супруга)</w:t>
            </w:r>
          </w:p>
          <w:p>
            <w:pPr>
              <w:jc w:val="left"/>
            </w:pPr>
            <w:r>
              <w:rPr>
                <w:rFonts w:ascii="Arial" w:cs="Arial" w:eastAsia="Arial" w:hAnsi="Arial"/>
                <w:sz w:val="24"/>
                <w:szCs w:val="24"/>
              </w:rPr>
              <w:t xml:space="preserve">2) Дети, в том числе усыновленные (далее заполняется на каждого члена семьи)</w:t>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Фамилия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Отчество (при наличии)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Персональный номер</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Гражданство</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Идентификационные сведения о близких лицах публичного должностного лица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связанности (нужное подчеркнуть)</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Близкие родственники</w:t>
            </w:r>
          </w:p>
          <w:p>
            <w:pPr>
              <w:jc w:val="left"/>
            </w:pPr>
            <w:r>
              <w:rPr>
                <w:rFonts w:ascii="Arial" w:cs="Arial" w:eastAsia="Arial" w:hAnsi="Arial"/>
                <w:sz w:val="24"/>
                <w:szCs w:val="24"/>
              </w:rPr>
              <w:t xml:space="preserve">2) Деловые партнеры, имеющие с публичным должностным лицом совместную собственность</w:t>
            </w:r>
          </w:p>
          <w:p>
            <w:pPr>
              <w:jc w:val="left"/>
            </w:pPr>
            <w:r>
              <w:rPr>
                <w:rFonts w:ascii="Arial" w:cs="Arial" w:eastAsia="Arial" w:hAnsi="Arial"/>
                <w:sz w:val="24"/>
                <w:szCs w:val="24"/>
              </w:rPr>
              <w:t xml:space="preserve">3) Лица, являющиеся официальными представителями публичного должностного лица (далее заполняется на каждое близкое лицо)</w:t>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номер</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Настоящим я, </w:t>
      </w: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nglntajru_tadm58i7c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qlqpzd0k_nsp0wijrgr">
      <w:r>
        <w:rPr>
          <w:rFonts w:ascii="Arial" w:cs="Arial" w:eastAsia="Arial" w:hAnsi="Arial"/>
          <w:color w:val="132D3F"/>
          <w:sz w:val="16"/>
          <w:szCs w:val="16"/>
          <w:u w:val="single"/>
        </w:rPr>
        <w:t xml:space="preserve">dalil.kg/document/12934</w:t>
      </w:r>
    </w:hyperlink>
  </w:p>
  <w:p>
    <w:pPr>
      <w:spacing w:after="0" w:before="40"/>
      <w:jc w:val="center"/>
    </w:pPr>
    <w:hyperlink w:history="1" r:id="rIdyrqtknnor2emf3hy8gm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7mfmjyjpvkqxecesrn" Type="http://schemas.openxmlformats.org/officeDocument/2006/relationships/hyperlink" Target="https://dalil.kg/document/230035187" TargetMode="External"/><Relationship Id="rIdy9oux2tcycvsi-a11cg_b" Type="http://schemas.openxmlformats.org/officeDocument/2006/relationships/hyperlink" Target="https://dalil.kg/document/12923" TargetMode="External"/><Relationship Id="rIdim9teycpgh3ahwatny4cs" Type="http://schemas.openxmlformats.org/officeDocument/2006/relationships/hyperlink" Target="https://dalil.kg/document/160299" TargetMode="External"/><Relationship Id="rId0sv4yyvynyf3g2psml78c" Type="http://schemas.openxmlformats.org/officeDocument/2006/relationships/hyperlink" Target="https://dalil.kg/document/230017806" TargetMode="External"/><Relationship Id="rIdlioisipqczxqkciazoibx" Type="http://schemas.openxmlformats.org/officeDocument/2006/relationships/hyperlink" Target="https://dalil.kg/document/111822#st_5" TargetMode="External"/><Relationship Id="rIdcvbjb-4gdz4kmd4nnj48y" Type="http://schemas.openxmlformats.org/officeDocument/2006/relationships/hyperlink" Target="https://dalil.kg/document/160299" TargetMode="External"/><Relationship Id="rId0zvh3ayabatq9knk_rd9h" Type="http://schemas.openxmlformats.org/officeDocument/2006/relationships/hyperlink" Target="https://dalil.kg/document/160299" TargetMode="External"/><Relationship Id="rIds_igp6bo97u-upkdi0hqx" Type="http://schemas.openxmlformats.org/officeDocument/2006/relationships/hyperlink" Target="https://dalil.kg/document/111822#st_31" TargetMode="External"/><Relationship Id="rIdmscigxq0exwhyjpghwff1" Type="http://schemas.openxmlformats.org/officeDocument/2006/relationships/hyperlink" Target="https://dalil.kg/document/160299" TargetMode="External"/><Relationship Id="rIdqadmsaoywfggzrxhacz-r" Type="http://schemas.openxmlformats.org/officeDocument/2006/relationships/hyperlink" Target="https://dalil.kg/document/230017806" TargetMode="External"/><Relationship Id="rId6dlrjtdd0kn5ukxgdiz8s" Type="http://schemas.openxmlformats.org/officeDocument/2006/relationships/hyperlink" Target="https://dalil.kg/document/160299" TargetMode="External"/><Relationship Id="rId1sd7ssuquhpxm138gvrak" Type="http://schemas.openxmlformats.org/officeDocument/2006/relationships/hyperlink" Target="https://dalil.kg/document/12934#st_12" TargetMode="External"/><Relationship Id="rIdxj7elaldddwch7av9ncl7" Type="http://schemas.openxmlformats.org/officeDocument/2006/relationships/hyperlink" Target="https://dalil.kg/document/160299" TargetMode="External"/><Relationship Id="rIdy9_uidnzh-x4ubvour3hd" Type="http://schemas.openxmlformats.org/officeDocument/2006/relationships/hyperlink" Target="https://dalil.kg/document/160299" TargetMode="External"/><Relationship Id="rIdejdqm_qz6qfwrjhahehw7" Type="http://schemas.openxmlformats.org/officeDocument/2006/relationships/hyperlink" Target="https://dalil.kg/document/12934#p1" TargetMode="External"/><Relationship Id="rIdfceutmu8amhmyxn1bqlrh" Type="http://schemas.openxmlformats.org/officeDocument/2006/relationships/hyperlink" Target="https://dalil.kg/document/12934#p2" TargetMode="External"/><Relationship Id="rIdpwkodkuxvnxu8iv3egkho" Type="http://schemas.openxmlformats.org/officeDocument/2006/relationships/hyperlink" Target="https://dalil.kg/document/160299" TargetMode="External"/><Relationship Id="rIddq0qwnwouseoxmgqurzso" Type="http://schemas.openxmlformats.org/officeDocument/2006/relationships/hyperlink" Target="https://dalil.kg/document/160299" TargetMode="External"/><Relationship Id="rIdbmlly5dzo0ga9_qydcmud" Type="http://schemas.openxmlformats.org/officeDocument/2006/relationships/hyperlink" Target="https://dalil.kg/document/230017806" TargetMode="External"/><Relationship Id="rId3ig68cgczldsht515jqkw" Type="http://schemas.openxmlformats.org/officeDocument/2006/relationships/hyperlink" Target="https://dalil.kg/document/92306#p1" TargetMode="External"/><Relationship Id="rIdt7ou8c39ueicad_2itne7" Type="http://schemas.openxmlformats.org/officeDocument/2006/relationships/hyperlink" Target="https://dalil.kg/document/92306" TargetMode="External"/><Relationship Id="rIdlxmzob7_pnywsdbsjwjv6" Type="http://schemas.openxmlformats.org/officeDocument/2006/relationships/hyperlink" Target="https://dalil.kg/document/160299" TargetMode="External"/><Relationship Id="rIdj-k1tfew-cqpgodn2zhaf" Type="http://schemas.openxmlformats.org/officeDocument/2006/relationships/hyperlink" Target="https://dalil.kg/document/230017806" TargetMode="External"/><Relationship Id="rIdpgmmgcf4ihh7nnfulraiq" Type="http://schemas.openxmlformats.org/officeDocument/2006/relationships/hyperlink" Target="https://dalil.kg/document/12934#p3" TargetMode="External"/><Relationship Id="rIdzrtas8u_p4irgcquvgsv7" Type="http://schemas.openxmlformats.org/officeDocument/2006/relationships/hyperlink" Target="https://dalil.kg/document/160299" TargetMode="External"/><Relationship Id="rIdbgitcjcuogn5r6uj16i8c" Type="http://schemas.openxmlformats.org/officeDocument/2006/relationships/hyperlink" Target="https://dalil.kg/document/111822" TargetMode="External"/><Relationship Id="rIduspam9bacv60lyeb5ormh" Type="http://schemas.openxmlformats.org/officeDocument/2006/relationships/hyperlink" Target="https://dalil.kg/document/111822#st_21" TargetMode="External"/><Relationship Id="rIdyj9mqrlffvtlmflqc7mjv" Type="http://schemas.openxmlformats.org/officeDocument/2006/relationships/hyperlink" Target="https://dalil.kg/document/12934#p4" TargetMode="External"/><Relationship Id="rIddt9jcqbgkrh-jb_atcmrj" Type="http://schemas.openxmlformats.org/officeDocument/2006/relationships/hyperlink" Target="https://dalil.kg/document/160299" TargetMode="External"/><Relationship Id="rIdwoeholklsumimmroce9pm" Type="http://schemas.openxmlformats.org/officeDocument/2006/relationships/hyperlink" Target="https://dalil.kg/document/160299" TargetMode="External"/><Relationship Id="rIdmav7tv_jaibigsu7sxqco" Type="http://schemas.openxmlformats.org/officeDocument/2006/relationships/hyperlink" Target="https://dalil.kg/document/160299" TargetMode="External"/><Relationship Id="rIdxrw8t6bdyqqc4_chqubxo" Type="http://schemas.openxmlformats.org/officeDocument/2006/relationships/hyperlink" Target="https://dalil.kg/document/111822#st_21" TargetMode="External"/><Relationship Id="rIdyywtsbeakrkhsi8x4lqy4" Type="http://schemas.openxmlformats.org/officeDocument/2006/relationships/hyperlink" Target="https://dalil.kg/document/160299" TargetMode="External"/><Relationship Id="rIdg-npsoumpqjavsd6glmm8" Type="http://schemas.openxmlformats.org/officeDocument/2006/relationships/hyperlink" Target="https://dalil.kg/document/160299" TargetMode="External"/><Relationship Id="rId3nx__4r-mvjel5cwyx4g5" Type="http://schemas.openxmlformats.org/officeDocument/2006/relationships/hyperlink" Target="https://dalil.kg/document/160299" TargetMode="External"/><Relationship Id="rId0e7hsnlqahzztgdmu4v_f" Type="http://schemas.openxmlformats.org/officeDocument/2006/relationships/hyperlink" Target="https://dalil.kg/document/160299" TargetMode="External"/><Relationship Id="rIdi1ag_nneo7v0rgsr3kklw" Type="http://schemas.openxmlformats.org/officeDocument/2006/relationships/hyperlink" Target="https://dalil.kg/document/111822" TargetMode="External"/><Relationship Id="rIdnpght-51dqugawn704bvt" Type="http://schemas.openxmlformats.org/officeDocument/2006/relationships/hyperlink" Target="https://dalil.kg/document/160299" TargetMode="External"/><Relationship Id="rIdnq_s9cslf_1ahecmaztso" Type="http://schemas.openxmlformats.org/officeDocument/2006/relationships/hyperlink" Target="https://dalil.kg/document/160299" TargetMode="External"/><Relationship Id="rIdphwd3sajc89apo0lgjdd_" Type="http://schemas.openxmlformats.org/officeDocument/2006/relationships/hyperlink" Target="https://dalil.kg/document/160299" TargetMode="External"/><Relationship Id="rIdtlc_p9uk2-bmuzipsnswl" Type="http://schemas.openxmlformats.org/officeDocument/2006/relationships/hyperlink" Target="https://dalil.kg/document/202269" TargetMode="External"/><Relationship Id="rIdrsg2wja3mgg7lto4ci-_z" Type="http://schemas.openxmlformats.org/officeDocument/2006/relationships/hyperlink" Target="https://dalil.kg/document/160299" TargetMode="External"/><Relationship Id="rIdgleve1qvudz1bh4vperdp" Type="http://schemas.openxmlformats.org/officeDocument/2006/relationships/hyperlink" Target="https://dalil.kg/document/202269" TargetMode="External"/><Relationship Id="rIdvpwhr4i3ftapgsfjrx2mq" Type="http://schemas.openxmlformats.org/officeDocument/2006/relationships/hyperlink" Target="https://dalil.kg/document/160299" TargetMode="External"/><Relationship Id="rIdspn2yx0sixec_fm3wwyna" Type="http://schemas.openxmlformats.org/officeDocument/2006/relationships/hyperlink" Target="https://dalil.kg/document/202269" TargetMode="External"/><Relationship Id="rIdiabqoy4rwxc68tfoemj9-" Type="http://schemas.openxmlformats.org/officeDocument/2006/relationships/hyperlink" Target="https://dalil.kg/document/160299" TargetMode="External"/><Relationship Id="rIdnglntajru_tadm58i7cvq"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qlqpzd0k_nsp0wijrgr" Type="http://schemas.openxmlformats.org/officeDocument/2006/relationships/hyperlink" Target="https://dalil.kg/document/12934" TargetMode="External"/><Relationship Id="rIdyrqtknnor2emf3hy8gm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2026-09-24T06:15:24.236Z</dcterms:created>
  <dcterms:modified xsi:type="dcterms:W3CDTF">2026-09-24T06:15:24.236Z</dcterms:modified>
</cp:coreProperties>
</file>

<file path=docProps/custom.xml><?xml version="1.0" encoding="utf-8"?>
<Properties xmlns="http://schemas.openxmlformats.org/officeDocument/2006/custom-properties" xmlns:vt="http://schemas.openxmlformats.org/officeDocument/2006/docPropsVTypes"/>
</file>