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ноя</w:t>
      </w:r>
      <w:r>
        <w:rPr>
          <w:rFonts w:ascii="Arial" w:cs="Arial" w:eastAsia="Arial" w:hAnsi="Arial"/>
          <w:sz w:val="24"/>
          <w:szCs w:val="24"/>
        </w:rPr>
        <w:t xml:space="preserve">бря 2019 года №2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исполнении местного бюджета Чуйского  айыл окмоту по итогам 9 - месяцев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Рассмотрев представленные материалы и заслушав информацию заведующего финансово-экономического отдела Чуйского айыл окмоту  А.Малдыбаевой  "Об исполнении местного бюджета Чуйского айыл окмоту по итогам 9 месяцев 2019 года" и принимая во внимание предложение и поправки депутатов и руководствуясь со статьей 31 </w:t>
      </w:r>
      <w:hyperlink w:history="1" r:id="rIdtnay7ksoosifyo1hwb3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Чуйский айыльный 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информацию  заведующего финансово-экономического отдела А.Малдыбаевой "Об исполнении местного бюджета Чуйского айыл окмоту по итогам 9 месяцев 2019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данного постановления возложить на  председателя комитета по финансам, экономики и бюджета Чуйского айыльного кенеша А.Иманалиевой.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Информация об исполнении местного бюджета Чуйского  айыл окмоту по итогам    9-месяцев 2019 -года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Общая сумма расходной части  Чуйского айыл окмоту за 9 месяцев 2019 г.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Составило –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22329,8 млн сом</w:t>
      </w:r>
      <w:r>
        <w:rPr>
          <w:rFonts w:ascii="Arial" w:cs="Arial" w:eastAsia="Arial" w:hAnsi="Arial"/>
          <w:sz w:val="24"/>
          <w:szCs w:val="24"/>
        </w:rPr>
        <w:t xml:space="preserve">, доходная часть 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29796,9 сом: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0"/>
        <w:gridCol w:w="7616"/>
        <w:gridCol w:w="2091"/>
      </w:tblGrid>
      <w:tr>
        <w:tc>
          <w:tcPr>
            <w:tcW w:type="dxa" w:w="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налогов</w:t>
            </w:r>
          </w:p>
        </w:tc>
        <w:tc>
          <w:tcPr>
            <w:tcW w:type="dxa" w:w="2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2019г (т.с)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15121,3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158,6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Обязательный патент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251,7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Добровольный патент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2344,2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лицензия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206,0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Транспортный налог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2539,6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имущество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1304,1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-приусадбеный участок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169,2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-зем налоги  с/х угодий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1264,5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-налог несельхоз назначения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1657,9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пастбищ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мусор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74,4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Платежи от поступление гос. интересов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штрафы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267,3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 за польз.земель населеных пунктов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659,0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 на земли ФПС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494,0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 питьевые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 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3290,4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 и сборы местного бюджета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развитие и содержание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54,4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другая подземная вода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29796,9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0"/>
        <w:gridCol w:w="7756"/>
        <w:gridCol w:w="1952"/>
      </w:tblGrid>
      <w:tr>
        <w:tc>
          <w:tcPr>
            <w:tcW w:type="dxa" w:w="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7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9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2019год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Зар. плата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5757,6 млн с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7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  соц.фонд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751,5 т.сом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Электро энергия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2972,3т.сом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2996,6 млн сом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вода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371,3 т.сом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78,0 т.сом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Коммандировачные  расходы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64,0т.сом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ККП (таллон)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150,0т.сом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торжественных мероприятий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287,5 млн сом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Соц. отд.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174,0т.сом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ремонт зданий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496,5т.сом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Автомашина и запчасти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167,0т.сом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Доп. расходы 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2618,9т.сом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768,0т.сом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613,8т.сом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приобретение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403,3т.сом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средства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6514,0т.сом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расходы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2540,1т.сом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Зав.ФЭО Чуйского  айыл окмоту                                                             А.Малдыбаева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hgft16u8ixiprp2pn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dalil.kg/document/130197</w:t>
      </w:r>
    </w:hyperlink>
  </w:p>
  <w:p>
    <w:pPr>
      <w:spacing w:after="0" w:before="40"/>
      <w:jc w:val="center"/>
    </w:pPr>
    <w:hyperlink w:history="1" r:id="rIdbwv4die7nviy-3r2hin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ay7ksoosifyo1hwb3vm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hgft16u8ixiprp2pnrw" Type="http://schemas.openxmlformats.org/officeDocument/2006/relationships/hyperlink" Target="https://dalil.kg/document/130197" TargetMode="External"/><Relationship Id="rIdbwv4die7nviy-3r2hin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2026-10-01T08:38:47.740Z</dcterms:created>
  <dcterms:modified xsi:type="dcterms:W3CDTF">2026-10-01T08:38:47.740Z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