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Чуйского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pyvxfs6o89bbfjaua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КР,  а также Законами КР “</w:t>
      </w:r>
      <w:hyperlink w:history="1" r:id="rIdesj1tbwcyeurd9vegy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“О выборах депутатах местных Кенешей”, “</w:t>
      </w:r>
      <w:hyperlink w:history="1" r:id="rId5au37ao4vfk4r9kkre_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y7k4w8ydtegynuxecfr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нормативно – правовых актах КР</w:t>
        </w:r>
      </w:hyperlink>
      <w:r>
        <w:rPr>
          <w:rFonts w:ascii="Arial" w:cs="Arial" w:eastAsia="Arial" w:hAnsi="Arial"/>
          <w:sz w:val="24"/>
          <w:szCs w:val="24"/>
        </w:rPr>
        <w:t xml:space="preserve">”  и других нормативно – правовых актах КР, регулирующих деятельность местных Кенешей, организации делопроизводства, несение муниципальной службы,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Регламент Чуйского айылного кенеша согласно приложения 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Старейший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Асекова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whsif_uf7vf2gbvf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dalil.kg/document/130550</w:t>
      </w:r>
    </w:hyperlink>
  </w:p>
  <w:p>
    <w:pPr>
      <w:spacing w:after="0" w:before="40"/>
      <w:jc w:val="center"/>
    </w:pPr>
    <w:hyperlink w:history="1" r:id="rIdy2g2z8x2b5jkpcejj1n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yvxfs6o89bbfjauajyb" Type="http://schemas.openxmlformats.org/officeDocument/2006/relationships/hyperlink" Target="https://dalil.kg/document/112213" TargetMode="External"/><Relationship Id="rIdesj1tbwcyeurd9vegykbn" Type="http://schemas.openxmlformats.org/officeDocument/2006/relationships/hyperlink" Target="https://dalil.kg/document/203102" TargetMode="External"/><Relationship Id="rId5au37ao4vfk4r9kkre_z_" Type="http://schemas.openxmlformats.org/officeDocument/2006/relationships/hyperlink" Target="https://dalil.kg/document/311" TargetMode="External"/><Relationship Id="rIdy7k4w8ydtegynuxecfry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whsif_uf7vf2gbvf8a" Type="http://schemas.openxmlformats.org/officeDocument/2006/relationships/hyperlink" Target="https://dalil.kg/document/130550" TargetMode="External"/><Relationship Id="rIdy2g2z8x2b5jkpcejj1n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2026-09-29T17:59:47.021Z</dcterms:created>
  <dcterms:modified xsi:type="dcterms:W3CDTF">2026-09-29T17:59:47.021Z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