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марта 2019 года № 104</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smisj9mq2ey-phrvapmr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w-ppr8id0x8elknsa97q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 инициированный депутатами Жогорку Кенеша Кыргызской Республики Нурбаевым А.М., Примовым У.Б., Акаевым Ж.К., Бекешевым Д.Д., Исаковым М.А., Эгембердиевым М.Б.,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марта 2019 года № 104</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землепользования"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el84ihuztdgwzvasim5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по вопросам землепользования", инициированный депутатами Жогорку Кенеша Кыргызской Республики Нурбаевым А.М., Примовым У.Б., Акаевым Ж.К., Бекешевым Д.Д., Исаковым М.А., Эгембердиевым М.Б. и Бакировым М.И., приходит к следующему заключению.</w:t>
      </w:r>
    </w:p>
    <w:p>
      <w:pPr>
        <w:spacing w:after="60"/>
        <w:ind w:firstLine="567"/>
        <w:jc w:val="both"/>
      </w:pPr>
      <w:r>
        <w:rPr>
          <w:rFonts w:ascii="Arial" w:cs="Arial" w:eastAsia="Arial" w:hAnsi="Arial"/>
          <w:sz w:val="24"/>
          <w:szCs w:val="24"/>
        </w:rPr>
        <w:t xml:space="preserve">1. Статьей 1 проекта Закона предлагается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znpzxpdtvgwpxvaqz7zz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дополнить абзацем шестьдесят четвертым, предусматривающим понятие "сооружение связи", под которым понимаются "объекты инженерной инфраструктуры оператора электросвязи (в том числе, не ограничиваясь, базовые станции, антенно-мачтовые сооружения, антенно-фидерные устройства, линейно-кабельные устройства связи), созданные или приспособленные для размещения средств и систем связи, как объекты капитального строительства, так и не являющиеся таковыми".</w:t>
      </w:r>
    </w:p>
    <w:p>
      <w:pPr>
        <w:spacing w:after="60"/>
        <w:ind w:firstLine="567"/>
        <w:jc w:val="both"/>
      </w:pPr>
      <w:r>
        <w:rPr>
          <w:rFonts w:ascii="Arial" w:cs="Arial" w:eastAsia="Arial" w:hAnsi="Arial"/>
          <w:sz w:val="24"/>
          <w:szCs w:val="24"/>
        </w:rPr>
        <w:t xml:space="preserve">Вместе с тем обращаем внимание,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zx12jq7m9h1xzszkrrk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w:t>
      </w:r>
    </w:p>
    <w:p>
      <w:pPr>
        <w:spacing w:after="60"/>
        <w:ind w:firstLine="567"/>
        <w:jc w:val="both"/>
      </w:pPr>
      <w:r>
        <w:rPr>
          <w:rFonts w:ascii="Arial" w:cs="Arial" w:eastAsia="Arial" w:hAnsi="Arial"/>
          <w:sz w:val="24"/>
          <w:szCs w:val="24"/>
        </w:rPr>
        <w:t xml:space="preserve">Однако применяемое в статье 1 проекта Закона словосочетание "так и не являющиеся таковыми" является размытым и неконкретным, ввиду чего будет давать право соответствующим субъектам по своему усмотрению толковать ту или иную ситуацию и применять предлагаемые нормы.</w:t>
      </w:r>
    </w:p>
    <w:p>
      <w:pPr>
        <w:spacing w:after="60"/>
        <w:ind w:firstLine="567"/>
        <w:jc w:val="both"/>
      </w:pPr>
      <w:r>
        <w:rPr>
          <w:rFonts w:ascii="Arial" w:cs="Arial" w:eastAsia="Arial" w:hAnsi="Arial"/>
          <w:sz w:val="24"/>
          <w:szCs w:val="24"/>
        </w:rPr>
        <w:t xml:space="preserve">Одновременно обращаем внимание, что в частях 7 и 8 </w:t>
      </w:r>
      <w:r>
        <w:rPr>
          <w:rFonts w:ascii="Arial" w:cs="Arial" w:eastAsia="Arial" w:hAnsi="Arial"/>
          <w:sz w:val="24"/>
          <w:szCs w:val="24"/>
        </w:rPr>
        <w:t xml:space="preserve">статьи 32</w:t>
      </w:r>
      <w:r>
        <w:rPr>
          <w:rFonts w:ascii="Arial" w:cs="Arial" w:eastAsia="Arial" w:hAnsi="Arial"/>
          <w:sz w:val="24"/>
          <w:szCs w:val="24"/>
        </w:rPr>
        <w:t xml:space="preserve"> </w:t>
      </w:r>
      <w:hyperlink w:history="1" r:id="rIdfi1md8wlakgj65nbvhkz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используется формулировка "сооружения электросвязи", которая не имеет определения, разъясняющего его значение.</w:t>
      </w:r>
    </w:p>
    <w:p>
      <w:pPr>
        <w:spacing w:after="60"/>
        <w:ind w:firstLine="567"/>
        <w:jc w:val="both"/>
      </w:pPr>
      <w:r>
        <w:rPr>
          <w:rFonts w:ascii="Arial" w:cs="Arial" w:eastAsia="Arial" w:hAnsi="Arial"/>
          <w:sz w:val="24"/>
          <w:szCs w:val="24"/>
        </w:rPr>
        <w:t xml:space="preserve">С учетом изложенного, а также во избежание спорных ситуаций и неясностей в правоприменительной практике, статью 1 проекта Закона предлагаем доработать.</w:t>
      </w:r>
    </w:p>
    <w:p>
      <w:pPr>
        <w:spacing w:after="60"/>
        <w:ind w:firstLine="567"/>
        <w:jc w:val="both"/>
      </w:pPr>
      <w:r>
        <w:rPr>
          <w:rFonts w:ascii="Arial" w:cs="Arial" w:eastAsia="Arial" w:hAnsi="Arial"/>
          <w:sz w:val="24"/>
          <w:szCs w:val="24"/>
        </w:rPr>
        <w:t xml:space="preserve">2. Частью 3 статьи 2 проекта Закона предусматривается пункт 1 </w:t>
      </w:r>
      <w:r>
        <w:rPr>
          <w:rFonts w:ascii="Arial" w:cs="Arial" w:eastAsia="Arial" w:hAnsi="Arial"/>
          <w:sz w:val="24"/>
          <w:szCs w:val="24"/>
        </w:rPr>
        <w:t xml:space="preserve">статьи 11</w:t>
      </w:r>
      <w:r>
        <w:rPr>
          <w:rFonts w:ascii="Arial" w:cs="Arial" w:eastAsia="Arial" w:hAnsi="Arial"/>
          <w:sz w:val="24"/>
          <w:szCs w:val="24"/>
        </w:rPr>
        <w:t xml:space="preserve"> Земельного </w:t>
      </w:r>
      <w:hyperlink w:history="1" r:id="rId1yb3rfknt1xtu4qmc1ee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абзацем вторым, согласно которому "земельные участки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предоставляются во временное пользование для строительства или установки сооружений связи, без перевода (трансформации) земель из одной категории в другую или из одного вида угодий в другой".</w:t>
      </w:r>
    </w:p>
    <w:p>
      <w:pPr>
        <w:spacing w:after="60"/>
        <w:ind w:firstLine="567"/>
        <w:jc w:val="both"/>
      </w:pPr>
      <w:r>
        <w:rPr>
          <w:rFonts w:ascii="Arial" w:cs="Arial" w:eastAsia="Arial" w:hAnsi="Arial"/>
          <w:sz w:val="24"/>
          <w:szCs w:val="24"/>
        </w:rPr>
        <w:t xml:space="preserve">Вместе с тем необходимо отметить, что </w:t>
      </w:r>
      <w:r>
        <w:rPr>
          <w:rFonts w:ascii="Arial" w:cs="Arial" w:eastAsia="Arial" w:hAnsi="Arial"/>
          <w:sz w:val="24"/>
          <w:szCs w:val="24"/>
        </w:rPr>
        <w:t xml:space="preserve">статьей 3</w:t>
      </w:r>
      <w:r>
        <w:rPr>
          <w:rFonts w:ascii="Arial" w:cs="Arial" w:eastAsia="Arial" w:hAnsi="Arial"/>
          <w:sz w:val="24"/>
          <w:szCs w:val="24"/>
        </w:rPr>
        <w:t xml:space="preserve"> Земельного </w:t>
      </w:r>
      <w:hyperlink w:history="1" r:id="rId8dnra4pqyszgejir7sei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закреплены принципы, на которых основывается земельное законодательство, к числу которых относятся эффективное и целевое использование земель и приоритет земель сельскохозяйственного назначения.</w:t>
      </w:r>
    </w:p>
    <w:p>
      <w:pPr>
        <w:spacing w:after="60"/>
        <w:ind w:firstLine="567"/>
        <w:jc w:val="both"/>
      </w:pPr>
      <w:r>
        <w:rPr>
          <w:rFonts w:ascii="Arial" w:cs="Arial" w:eastAsia="Arial" w:hAnsi="Arial"/>
          <w:sz w:val="24"/>
          <w:szCs w:val="24"/>
        </w:rPr>
        <w:t xml:space="preserve">Так, согласно </w:t>
      </w:r>
      <w:r>
        <w:rPr>
          <w:rFonts w:ascii="Arial" w:cs="Arial" w:eastAsia="Arial" w:hAnsi="Arial"/>
          <w:sz w:val="24"/>
          <w:szCs w:val="24"/>
        </w:rPr>
        <w:t xml:space="preserve">статье 12</w:t>
      </w:r>
      <w:r>
        <w:rPr>
          <w:rFonts w:ascii="Arial" w:cs="Arial" w:eastAsia="Arial" w:hAnsi="Arial"/>
          <w:sz w:val="24"/>
          <w:szCs w:val="24"/>
        </w:rPr>
        <w:t xml:space="preserve"> указанного </w:t>
      </w:r>
      <w:hyperlink w:history="1" r:id="rIdnhfgxlx6vnyz0mw1-deu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использование земельного участка не по целевому назначению не допускается,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10</w:t>
      </w:r>
      <w:r>
        <w:rPr>
          <w:rFonts w:ascii="Arial" w:cs="Arial" w:eastAsia="Arial" w:hAnsi="Arial"/>
          <w:sz w:val="24"/>
          <w:szCs w:val="24"/>
        </w:rPr>
        <w:t xml:space="preserve"> вышеуказанного </w:t>
      </w:r>
      <w:hyperlink w:history="1" r:id="rIdxsphcbbjtddbc-oy4tgh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земельный фонд Кыргызской Республики включает в себя сельскохозяйственные и несельскохозяйственные земельные угодья и в соответствии с целевым назначением подразделяется на определенные категории (земли сельскохозяйственного назначения, земли населенных пунктов, земли особо охраняемых природных территорий, земли Государственного резерва земель месторождений полезных ископаемых и т.д.). При этом для каждой категории земель и каждого вида угодий предусмотрен свой особый порядок целевого использования и перевода (трансформации).</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eaceng77jezsumu49iza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особо охраняемых природных территориях" государственные природные заповедники, государственные природные парки, ботанические сады, дендрологические и зоологические парки, заказники, государственные памятники природы, трансграничные особо охраняемые природные территории, биосферные территории и/или резерваты и их земли находятся исключительно в собственности Кыргызской Республики и являются национальным достоянием Кыргызской Республики. На землях особо охраняемых природных территорий запрещается осуществление действий, направленных на ухудшение качества и истощение природных ресурсов и объектов, а также нарушающих режим государственной охраны указанных земель.</w:t>
      </w:r>
    </w:p>
    <w:p>
      <w:pPr>
        <w:spacing w:after="60"/>
        <w:ind w:firstLine="567"/>
        <w:jc w:val="both"/>
      </w:pPr>
      <w:r>
        <w:rPr>
          <w:rFonts w:ascii="Arial" w:cs="Arial" w:eastAsia="Arial" w:hAnsi="Arial"/>
          <w:sz w:val="24"/>
          <w:szCs w:val="24"/>
        </w:rPr>
        <w:t xml:space="preserve">Кроме того, поправки, указанные в части 3 статьи 2 проекта Закона, нивелирует цели </w:t>
      </w:r>
      <w:hyperlink w:history="1" r:id="rIdngau2wjuextzvqs1qr3y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поскольку данным </w:t>
      </w:r>
      <w:hyperlink w:history="1" r:id="rIduss9ptyco3t_onp3ru6z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введен мораторий на перевод (трансформацию) орошаемых земель пашни в другие категории земель и виды угодий, за исключением случаев, оговоренных в указанном Законе.</w:t>
      </w:r>
    </w:p>
    <w:p>
      <w:pPr>
        <w:spacing w:after="60"/>
        <w:ind w:firstLine="567"/>
        <w:jc w:val="both"/>
      </w:pPr>
      <w:r>
        <w:rPr>
          <w:rFonts w:ascii="Arial" w:cs="Arial" w:eastAsia="Arial" w:hAnsi="Arial"/>
          <w:sz w:val="24"/>
          <w:szCs w:val="24"/>
        </w:rPr>
        <w:t xml:space="preserve">3. Частью 7 статьи 2 проекта Закона предлагается пункт 3 </w:t>
      </w:r>
      <w:hyperlink w:history="1" r:id="rIdm6igweicvmnsrecgtqpqw">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Земельного </w:t>
      </w:r>
      <w:hyperlink w:history="1" r:id="rId_snai1gwdjrtevx-ste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абзацем вторым, согласно которому "допускается передача во временное пользование собственником или землепользователем части земельного участка для строительства или установки сооружений связи без выделения этой части в самостоятельный земельный участок и без государственной регистрации".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49</w:t>
      </w:r>
      <w:r>
        <w:rPr>
          <w:rFonts w:ascii="Arial" w:cs="Arial" w:eastAsia="Arial" w:hAnsi="Arial"/>
          <w:sz w:val="24"/>
          <w:szCs w:val="24"/>
        </w:rPr>
        <w:t xml:space="preserve"> указанного </w:t>
      </w:r>
      <w:hyperlink w:history="1" r:id="rId4p-p0fcog7av8uu8ujlw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66</w:t>
      </w:r>
      <w:r>
        <w:rPr>
          <w:rFonts w:ascii="Arial" w:cs="Arial" w:eastAsia="Arial" w:hAnsi="Arial"/>
          <w:sz w:val="24"/>
          <w:szCs w:val="24"/>
        </w:rPr>
        <w:t xml:space="preserve"> вышеназванного </w:t>
      </w:r>
      <w:hyperlink w:history="1" r:id="rIdrq603gfdqoe39hn917h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использование земельного участка в нарушение его целевого назначения является основанием для его изъятия.</w:t>
      </w:r>
    </w:p>
    <w:p>
      <w:pPr>
        <w:spacing w:after="60"/>
        <w:ind w:firstLine="567"/>
        <w:jc w:val="both"/>
      </w:pPr>
      <w:r>
        <w:rPr>
          <w:rFonts w:ascii="Arial" w:cs="Arial" w:eastAsia="Arial" w:hAnsi="Arial"/>
          <w:sz w:val="24"/>
          <w:szCs w:val="24"/>
        </w:rPr>
        <w:t xml:space="preserve">Также следует учесть, что в соответствии со </w:t>
      </w:r>
      <w:r>
        <w:rPr>
          <w:rFonts w:ascii="Arial" w:cs="Arial" w:eastAsia="Arial" w:hAnsi="Arial"/>
          <w:sz w:val="24"/>
          <w:szCs w:val="24"/>
        </w:rPr>
        <w:t xml:space="preserve">статьей 25</w:t>
      </w:r>
      <w:r>
        <w:rPr>
          <w:rFonts w:ascii="Arial" w:cs="Arial" w:eastAsia="Arial" w:hAnsi="Arial"/>
          <w:sz w:val="24"/>
          <w:szCs w:val="24"/>
        </w:rPr>
        <w:t xml:space="preserve"> Гражданского </w:t>
      </w:r>
      <w:hyperlink w:history="1" r:id="rIdoalljem36_tbihow3c4f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право собственности и другие вещные права на недвижимые вещи, ограничения этих прав, их возникновение, изменение и прекращение подлежат государственной регистрации в едином государственном реестре.</w:t>
      </w:r>
    </w:p>
    <w:p>
      <w:pPr>
        <w:spacing w:after="60"/>
        <w:ind w:firstLine="567"/>
        <w:jc w:val="both"/>
      </w:pPr>
      <w:r>
        <w:rPr>
          <w:rFonts w:ascii="Arial" w:cs="Arial" w:eastAsia="Arial" w:hAnsi="Arial"/>
          <w:sz w:val="24"/>
          <w:szCs w:val="24"/>
        </w:rPr>
        <w:t xml:space="preserve">Кроме этого,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do45eqcmjcsaj75u6ayk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предусмотрены права и ограничения, подлежащие обязательной регистрации, к числу которых относится также право на временное пользование, аренду или субаренду на срок три года и более.</w:t>
      </w:r>
    </w:p>
    <w:p>
      <w:pPr>
        <w:spacing w:after="60"/>
        <w:ind w:firstLine="567"/>
        <w:jc w:val="both"/>
      </w:pPr>
      <w:r>
        <w:rPr>
          <w:rFonts w:ascii="Arial" w:cs="Arial" w:eastAsia="Arial" w:hAnsi="Arial"/>
          <w:sz w:val="24"/>
          <w:szCs w:val="24"/>
        </w:rPr>
        <w:t xml:space="preserve">В этой связи отмечаем, что государственная регистрация права является единственным доказательством существования зарегистрированного права. При этом отсутствие государственной регистрации прав или обременений (ограничений) прав может повлечь их недействительность.</w:t>
      </w:r>
    </w:p>
    <w:p>
      <w:pPr>
        <w:spacing w:after="60"/>
        <w:ind w:firstLine="567"/>
        <w:jc w:val="both"/>
      </w:pPr>
      <w:r>
        <w:rPr>
          <w:rFonts w:ascii="Arial" w:cs="Arial" w:eastAsia="Arial" w:hAnsi="Arial"/>
          <w:sz w:val="24"/>
          <w:szCs w:val="24"/>
        </w:rPr>
        <w:t xml:space="preserve">4. Частью 15 статьи 2 проекта Закона предусматривается внесение изменений в </w:t>
      </w:r>
      <w:r>
        <w:rPr>
          <w:rFonts w:ascii="Arial" w:cs="Arial" w:eastAsia="Arial" w:hAnsi="Arial"/>
          <w:sz w:val="24"/>
          <w:szCs w:val="24"/>
        </w:rPr>
        <w:t xml:space="preserve">статью 87</w:t>
      </w:r>
      <w:r>
        <w:rPr>
          <w:rFonts w:ascii="Arial" w:cs="Arial" w:eastAsia="Arial" w:hAnsi="Arial"/>
          <w:sz w:val="24"/>
          <w:szCs w:val="24"/>
        </w:rPr>
        <w:t xml:space="preserve"> Земельного </w:t>
      </w:r>
      <w:hyperlink w:history="1" r:id="rIdh-xv9y51f3cs0wkmtrvx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согласно которым "допускается предоставление земельных участков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из земель лесного фонда для строительства или установки сооружений связи".</w:t>
      </w:r>
    </w:p>
    <w:p>
      <w:pPr>
        <w:spacing w:after="60"/>
        <w:ind w:firstLine="567"/>
        <w:jc w:val="both"/>
      </w:pPr>
      <w:r>
        <w:rPr>
          <w:rFonts w:ascii="Arial" w:cs="Arial" w:eastAsia="Arial" w:hAnsi="Arial"/>
          <w:sz w:val="24"/>
          <w:szCs w:val="24"/>
        </w:rPr>
        <w:t xml:space="preserve">Вместе с этим следует учесть, что согласно </w:t>
      </w:r>
      <w:r>
        <w:rPr>
          <w:rFonts w:ascii="Arial" w:cs="Arial" w:eastAsia="Arial" w:hAnsi="Arial"/>
          <w:sz w:val="24"/>
          <w:szCs w:val="24"/>
        </w:rPr>
        <w:t xml:space="preserve">статье 27</w:t>
      </w:r>
      <w:r>
        <w:rPr>
          <w:rFonts w:ascii="Arial" w:cs="Arial" w:eastAsia="Arial" w:hAnsi="Arial"/>
          <w:sz w:val="24"/>
          <w:szCs w:val="24"/>
        </w:rPr>
        <w:t xml:space="preserve"> Земельного </w:t>
      </w:r>
      <w:hyperlink w:history="1" r:id="rIddpvkevqzd0ctpn-7ic0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земельные участки для строительства промышленных предприятий, объектов жилищно-коммунального хозяйства, железных и автомобильных дорог, заправочных станций, хранилищ горюче-смазочных материалов, линий электропередачи и магистральных трубопроводов, а также для иных несельскохозяйственных нужд предоставляются, как правило, из земель несельскохозяйственного назначения или земель, не пригодных для сельского хозяйства. Предоставление для указанных целей земельных участков из земель государственного лесного фонда производится преимущественно за счет непокрытых лесом площадей, кроме сельскохозяйственных угодий или площадей, занятых малоценными насаждениями.</w:t>
      </w:r>
    </w:p>
    <w:p>
      <w:pPr>
        <w:spacing w:after="60"/>
        <w:ind w:firstLine="567"/>
        <w:jc w:val="both"/>
      </w:pPr>
      <w:r>
        <w:rPr>
          <w:rFonts w:ascii="Arial" w:cs="Arial" w:eastAsia="Arial" w:hAnsi="Arial"/>
          <w:sz w:val="24"/>
          <w:szCs w:val="24"/>
        </w:rPr>
        <w:t xml:space="preserve">5. Согласно предлагаемым в статью 4 проекта Закона изменениям отмечаем, что </w:t>
      </w:r>
      <w:r>
        <w:rPr>
          <w:rFonts w:ascii="Arial" w:cs="Arial" w:eastAsia="Arial" w:hAnsi="Arial"/>
          <w:sz w:val="24"/>
          <w:szCs w:val="24"/>
        </w:rPr>
        <w:t xml:space="preserve">статьей 48</w:t>
      </w:r>
      <w:r>
        <w:rPr>
          <w:rFonts w:ascii="Arial" w:cs="Arial" w:eastAsia="Arial" w:hAnsi="Arial"/>
          <w:sz w:val="24"/>
          <w:szCs w:val="24"/>
        </w:rPr>
        <w:t xml:space="preserve"> Лесного </w:t>
      </w:r>
      <w:hyperlink w:history="1" r:id="rId2cnwtzes7v6rt5umcqkg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определены виды лесных пользований, к числу которых строительство или установка сооружений связи не относится.</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y2zg7wdpbyto3cuxx_60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w:t>
      </w:r>
    </w:p>
    <w:p>
      <w:pPr>
        <w:spacing w:after="60"/>
        <w:ind w:firstLine="567"/>
        <w:jc w:val="both"/>
      </w:pPr>
      <w:r>
        <w:rPr>
          <w:rFonts w:ascii="Arial" w:cs="Arial" w:eastAsia="Arial" w:hAnsi="Arial"/>
          <w:sz w:val="24"/>
          <w:szCs w:val="24"/>
        </w:rPr>
        <w:t xml:space="preserve">Однако отнесение строительства или установки сооружений связи к видам лесопользования не соответствует положениям вышеуказанного Закона.</w:t>
      </w:r>
    </w:p>
    <w:p>
      <w:pPr>
        <w:spacing w:after="60"/>
        <w:ind w:firstLine="567"/>
        <w:jc w:val="both"/>
      </w:pPr>
      <w:r>
        <w:rPr>
          <w:rFonts w:ascii="Arial" w:cs="Arial" w:eastAsia="Arial" w:hAnsi="Arial"/>
          <w:sz w:val="24"/>
          <w:szCs w:val="24"/>
        </w:rPr>
        <w:t xml:space="preserve">В связи с этим, в проекте Закона предлагаем конкретизировать отношение сооружения связи к капитальным строениям.</w:t>
      </w:r>
    </w:p>
    <w:p>
      <w:pPr>
        <w:spacing w:after="60"/>
        <w:ind w:firstLine="567"/>
        <w:jc w:val="both"/>
      </w:pPr>
      <w:r>
        <w:rPr>
          <w:rFonts w:ascii="Arial" w:cs="Arial" w:eastAsia="Arial" w:hAnsi="Arial"/>
          <w:sz w:val="24"/>
          <w:szCs w:val="24"/>
        </w:rPr>
        <w:t xml:space="preserve">В целом отмечаем что, структура и содержание проекта Закона требуют доработки в соответствии с требованиями </w:t>
      </w:r>
      <w:hyperlink w:history="1" r:id="rIdaub6kjnhow4mbbi8i53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qgiol0ltddz22giqsudr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pqvmw-mvigkvyhuxlox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учитывая, что принятие указанного проекта Закона позволит создать условия для развития телекоммуникационной инфраструктуры и связи,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rvsvnwaifx_tzteoivo">
      <w:r>
        <w:rPr>
          <w:rFonts w:ascii="Arial" w:cs="Arial" w:eastAsia="Arial" w:hAnsi="Arial"/>
          <w:color w:val="132D3F"/>
          <w:sz w:val="16"/>
          <w:szCs w:val="16"/>
          <w:u w:val="single"/>
        </w:rPr>
        <w:t xml:space="preserve">dalil.kg/document/13363</w:t>
      </w:r>
    </w:hyperlink>
  </w:p>
  <w:p>
    <w:pPr>
      <w:spacing w:after="0" w:before="40"/>
      <w:jc w:val="center"/>
    </w:pPr>
    <w:hyperlink w:history="1" r:id="rIdnilcknwjzbb5bp-lshm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isj9mq2ey-phrvapmro" Type="http://schemas.openxmlformats.org/officeDocument/2006/relationships/hyperlink" Target="https://dalil.kg/document/203685" TargetMode="External"/><Relationship Id="rIdw-ppr8id0x8elknsa97qr" Type="http://schemas.openxmlformats.org/officeDocument/2006/relationships/hyperlink" Target="https://dalil.kg/document/13363#p1" TargetMode="External"/><Relationship Id="rIdael84ihuztdgwzvasim5y" Type="http://schemas.openxmlformats.org/officeDocument/2006/relationships/hyperlink" Target="https://dalil.kg/document/203685" TargetMode="External"/><Relationship Id="rIdznpzxpdtvgwpxvaqz7zzq" Type="http://schemas.openxmlformats.org/officeDocument/2006/relationships/hyperlink" Target="https://dalil.kg/document/42" TargetMode="External"/><Relationship Id="rIdzx12jq7m9h1xzszkrrkc4" Type="http://schemas.openxmlformats.org/officeDocument/2006/relationships/hyperlink" Target="https://dalil.kg/document/202591" TargetMode="External"/><Relationship Id="rIdfi1md8wlakgj65nbvhkz3" Type="http://schemas.openxmlformats.org/officeDocument/2006/relationships/hyperlink" Target="https://dalil.kg/document/42" TargetMode="External"/><Relationship Id="rId1yb3rfknt1xtu4qmc1ee7" Type="http://schemas.openxmlformats.org/officeDocument/2006/relationships/hyperlink" Target="https://dalil.kg/document/8" TargetMode="External"/><Relationship Id="rId8dnra4pqyszgejir7seif" Type="http://schemas.openxmlformats.org/officeDocument/2006/relationships/hyperlink" Target="https://dalil.kg/document/8" TargetMode="External"/><Relationship Id="rIdnhfgxlx6vnyz0mw1-deu4" Type="http://schemas.openxmlformats.org/officeDocument/2006/relationships/hyperlink" Target="https://dalil.kg/document/8" TargetMode="External"/><Relationship Id="rIdxsphcbbjtddbc-oy4tghr" Type="http://schemas.openxmlformats.org/officeDocument/2006/relationships/hyperlink" Target="https://dalil.kg/document/8" TargetMode="External"/><Relationship Id="rIdeaceng77jezsumu49izad" Type="http://schemas.openxmlformats.org/officeDocument/2006/relationships/hyperlink" Target="https://dalil.kg/document/203262" TargetMode="External"/><Relationship Id="rIdngau2wjuextzvqs1qr3ys" Type="http://schemas.openxmlformats.org/officeDocument/2006/relationships/hyperlink" Target="https://dalil.kg/document/202627" TargetMode="External"/><Relationship Id="rIduss9ptyco3t_onp3ru6zs" Type="http://schemas.openxmlformats.org/officeDocument/2006/relationships/hyperlink" Target="https://dalil.kg/document/202627" TargetMode="External"/><Relationship Id="rIdm6igweicvmnsrecgtqpqw" Type="http://schemas.openxmlformats.org/officeDocument/2006/relationships/hyperlink" Target="https://dalil.kg/document/8" TargetMode="External"/><Relationship Id="rId_snai1gwdjrtevx-steev" Type="http://schemas.openxmlformats.org/officeDocument/2006/relationships/hyperlink" Target="https://dalil.kg/document/8" TargetMode="External"/><Relationship Id="rId4p-p0fcog7av8uu8ujlwc" Type="http://schemas.openxmlformats.org/officeDocument/2006/relationships/hyperlink" Target="https://dalil.kg/document/8" TargetMode="External"/><Relationship Id="rIdrq603gfdqoe39hn917hyt" Type="http://schemas.openxmlformats.org/officeDocument/2006/relationships/hyperlink" Target="https://dalil.kg/document/8" TargetMode="External"/><Relationship Id="rIdoalljem36_tbihow3c4fb" Type="http://schemas.openxmlformats.org/officeDocument/2006/relationships/hyperlink" Target="https://dalil.kg/document/4" TargetMode="External"/><Relationship Id="rIddo45eqcmjcsaj75u6ayku" Type="http://schemas.openxmlformats.org/officeDocument/2006/relationships/hyperlink" Target="https://dalil.kg/document/160" TargetMode="External"/><Relationship Id="rIdh-xv9y51f3cs0wkmtrvx4" Type="http://schemas.openxmlformats.org/officeDocument/2006/relationships/hyperlink" Target="https://dalil.kg/document/8" TargetMode="External"/><Relationship Id="rIddpvkevqzd0ctpn-7ic0ao" Type="http://schemas.openxmlformats.org/officeDocument/2006/relationships/hyperlink" Target="https://dalil.kg/document/8" TargetMode="External"/><Relationship Id="rId2cnwtzes7v6rt5umcqkgj" Type="http://schemas.openxmlformats.org/officeDocument/2006/relationships/hyperlink" Target="https://dalil.kg/document/10" TargetMode="External"/><Relationship Id="rIdy2zg7wdpbyto3cuxx_60z" Type="http://schemas.openxmlformats.org/officeDocument/2006/relationships/hyperlink" Target="https://dalil.kg/document/202591" TargetMode="External"/><Relationship Id="rIdaub6kjnhow4mbbi8i53su" Type="http://schemas.openxmlformats.org/officeDocument/2006/relationships/hyperlink" Target="https://dalil.kg/document/202591" TargetMode="External"/><Relationship Id="rIdqgiol0ltddz22giqsudrg" Type="http://schemas.openxmlformats.org/officeDocument/2006/relationships/hyperlink" Target="https://dalil.kg/document/76490" TargetMode="External"/><Relationship Id="rIdpqvmw-mvigkvyhuxloxfy" Type="http://schemas.openxmlformats.org/officeDocument/2006/relationships/hyperlink" Target="https://dalil.kg/document/7649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rvsvnwaifx_tzteoivo" Type="http://schemas.openxmlformats.org/officeDocument/2006/relationships/hyperlink" Target="https://dalil.kg/document/13363" TargetMode="External"/><Relationship Id="rIdnilcknwjzbb5bp-lshm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2026-10-02T15:01:40.996Z</dcterms:created>
  <dcterms:modified xsi:type="dcterms:W3CDTF">2026-10-02T15:01:40.996Z</dcterms:modified>
</cp:coreProperties>
</file>

<file path=docProps/custom.xml><?xml version="1.0" encoding="utf-8"?>
<Properties xmlns="http://schemas.openxmlformats.org/officeDocument/2006/custom-properties" xmlns:vt="http://schemas.openxmlformats.org/officeDocument/2006/docPropsVTypes"/>
</file>