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gsgbbcexlvd1-qmhnndw2">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7 марта 2019 года № 111</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 мерах по реализации требований статей 95, 101, 102, 105, 128, 135, 148, 153, 157, 158, 163, 176, 180, 213, 229, 232 Закона Кыргызской Республики "О таможенном регулировании в Кыргызской Республике" от 10 августа 2015 года № 564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приведения решений Правительства Кыргызской Республики в соответствие с положениями Налогового </w:t>
      </w:r>
      <w:hyperlink w:history="1" r:id="rIdajtupkjwld01eisajnw-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руководствуясь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6aenecou_ymrrgrldwdw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mnslkg9-jg4iw_s-ohpx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148, 153, 157, 158, 163, 176, 180, 213, 229, 232 </w:t>
      </w:r>
      <w:hyperlink w:history="1" r:id="rId1eqzek_zniil7vdvyyut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10 августа 2015 года № 564 следующие изменения:</w:t>
      </w:r>
    </w:p>
    <w:p>
      <w:pPr>
        <w:spacing w:after="60"/>
        <w:ind w:firstLine="567"/>
        <w:jc w:val="both"/>
      </w:pPr>
      <w:r>
        <w:rPr>
          <w:rFonts w:ascii="Arial" w:cs="Arial" w:eastAsia="Arial" w:hAnsi="Arial"/>
          <w:sz w:val="24"/>
          <w:szCs w:val="24"/>
        </w:rPr>
        <w:t xml:space="preserve">1) в </w:t>
      </w:r>
      <w:hyperlink w:history="1" r:id="rIdwathakmb-rhgub4pt8drj">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контролю за исчислением и уплатой таможенных платежей, утвержденной вышеуказанным </w:t>
      </w:r>
      <w:hyperlink w:history="1" r:id="rIdmlu7_wijvzjcl6jddkbp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43 изложить в следующей редакции:</w:t>
      </w:r>
    </w:p>
    <w:p>
      <w:pPr>
        <w:spacing w:after="60"/>
        <w:ind w:firstLine="567"/>
        <w:jc w:val="both"/>
      </w:pPr>
      <w:r>
        <w:rPr>
          <w:rFonts w:ascii="Arial" w:cs="Arial" w:eastAsia="Arial" w:hAnsi="Arial"/>
          <w:sz w:val="24"/>
          <w:szCs w:val="24"/>
        </w:rPr>
        <w:t xml:space="preserve">"43. При таможенном декларировании импортируемых основных средств хозяйствующим субъектом непосредственно для собственных производственных целей, за исключением импорта с территорий государств-членов Евразийского экономического союза, таможенному органу представляется обязательство (</w:t>
      </w:r>
      <w:hyperlink w:history="1" r:id="rIdj6lce8zpi5dis2nb0uaag">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отпечатанное на фирменном бланке организации, утвержденное и подписанное руководителем и главным бухгалтером, о том, что товар будет принят к бухгалтерскому учету и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60"/>
        <w:ind w:firstLine="567"/>
        <w:jc w:val="both"/>
      </w:pPr>
      <w:r>
        <w:rPr>
          <w:rFonts w:ascii="Arial" w:cs="Arial" w:eastAsia="Arial" w:hAnsi="Arial"/>
          <w:sz w:val="24"/>
          <w:szCs w:val="24"/>
        </w:rPr>
        <w:t xml:space="preserve">При этом, подтверждение о регистрации хозяйствующего субъекта по НДС (</w:t>
      </w:r>
      <w:hyperlink w:history="1" r:id="rIdkvrayfxnsgctcmnqn7hkq">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таможенный орган обязан получить от налогового органа в рамках системы межведомственного электронного взаимодействия. До внедрения системы межведомственного электронного взаимодействия, предусматривающего получение такого подтверждения, в таможенный орган представляется справка о регистрации по НДС (</w:t>
      </w:r>
      <w:hyperlink w:history="1" r:id="rIdzujl7msxg13aq9_faqw0k">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выданная налоговым органом по месту регистрации налогоплательщика, которая действует в течение 30 календарных дней со дня выдачи.</w:t>
      </w:r>
    </w:p>
    <w:p>
      <w:pPr>
        <w:spacing w:after="60"/>
        <w:ind w:firstLine="567"/>
        <w:jc w:val="both"/>
      </w:pPr>
      <w:r>
        <w:rPr>
          <w:rFonts w:ascii="Arial" w:cs="Arial" w:eastAsia="Arial" w:hAnsi="Arial"/>
          <w:sz w:val="24"/>
          <w:szCs w:val="24"/>
        </w:rPr>
        <w:t xml:space="preserve">При таможенном декларировании импортируемых для собственных производственных целей основных средств, за исключением импорта с территорий государств-членов Евразийского экономического союза, сельскохозяйственным производителем, сельскохозяйственным кооперативом, в том числе для производственных целей членов кооператива, машинно-тракторной станцией, торгово-логистическим центром сельскохозяйственного назначения, таможенному органу представляется обязательство (</w:t>
      </w:r>
      <w:hyperlink w:history="1" r:id="rIdvrx6iyoclzx0takvh4dwr">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отпечатанное на фирменном бланке организации, утвержденное и подписанное руководителем и главным бухгалтером, о том, что товар будет принят к бухгалтерскому учету и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60"/>
        <w:ind w:firstLine="567"/>
        <w:jc w:val="both"/>
      </w:pPr>
      <w:r>
        <w:rPr>
          <w:rFonts w:ascii="Arial" w:cs="Arial" w:eastAsia="Arial" w:hAnsi="Arial"/>
          <w:sz w:val="24"/>
          <w:szCs w:val="24"/>
        </w:rPr>
        <w:t xml:space="preserve">При этом, подтверждение о налоговой регистрации хозяйствующего субъекта (</w:t>
      </w:r>
      <w:hyperlink w:history="1" r:id="rIdvgldkvdtt36_p1-hfgdig">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таможенный орган обязан получить от налогового органа в рамках системы межведомственного электронного взаимодействия. До внедрения системы межведомственного электронного взаимодействия, предусматривающего получение такого подтверждения, в таможенный орган представляется справка о налоговой регистрации хозяйствующего субъекта (</w:t>
      </w:r>
      <w:hyperlink w:history="1" r:id="rIdhzth6-myknktqertaeozf">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таможенном декларировании импортируемых для собственных производственных целей основных средств, за исключением импорта с территорий государств-членов Евразийского экономического союза, хозяйствующим субъектом по договору финансовой аренды (лизинга), таможенному органу представляется нотариально заверенная копия договора финансовой аренды (лизинга), участником которого является лицо, осуществляющее импорт основных средств.</w:t>
      </w:r>
    </w:p>
    <w:p>
      <w:pPr>
        <w:spacing w:after="60"/>
        <w:ind w:firstLine="567"/>
        <w:jc w:val="both"/>
      </w:pPr>
      <w:r>
        <w:rPr>
          <w:rFonts w:ascii="Arial" w:cs="Arial" w:eastAsia="Arial" w:hAnsi="Arial"/>
          <w:sz w:val="24"/>
          <w:szCs w:val="24"/>
        </w:rPr>
        <w:t xml:space="preserve">При этом, подтверждение о налоговой регистрации хозяйствующего субъекта (</w:t>
      </w:r>
      <w:hyperlink w:history="1" r:id="rIdyr0wxxfvlnvkue5th5q3d">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таможенный орган обязан получить от налогового органа в рамках системы межведомственного электронного взаимодействия. До внедрения системы межведомственного электронного взаимодействия, предусматривающего получение такого подтверждения, в таможенный орган представляется справка о налоговой регистрации хозяйствующего субъекта (</w:t>
      </w:r>
      <w:hyperlink w:history="1" r:id="rIdu6xrpmkqjmgwc18yrgyyg">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Документальное подтверждение об отнесении на балансовый счет, инвентарный номер и т.д. должно быть представлено в таможенный орган не позднее 5 календарных дней со дня отнесения на балансовый счет. Данное обязательство не распространяется в отношении хозяйствующего субъекта, являющегося сельскохозяйственным производителем.</w:t>
      </w:r>
    </w:p>
    <w:p>
      <w:pPr>
        <w:spacing w:after="60"/>
        <w:ind w:firstLine="567"/>
        <w:jc w:val="both"/>
      </w:pPr>
      <w:r>
        <w:rPr>
          <w:rFonts w:ascii="Arial" w:cs="Arial" w:eastAsia="Arial" w:hAnsi="Arial"/>
          <w:sz w:val="24"/>
          <w:szCs w:val="24"/>
        </w:rPr>
        <w:t xml:space="preserve">Обязанность субъекта по уплате НДС прекращается в отношении основных средств по истечении 5 (пять) лет со дня выпуска товаров, в соответствии с таможенной процедурой выпуска для внутреннего потребления.</w:t>
      </w:r>
    </w:p>
    <w:p>
      <w:pPr>
        <w:spacing w:after="60"/>
        <w:ind w:firstLine="567"/>
        <w:jc w:val="both"/>
      </w:pPr>
      <w:r>
        <w:rPr>
          <w:rFonts w:ascii="Arial" w:cs="Arial" w:eastAsia="Arial" w:hAnsi="Arial"/>
          <w:sz w:val="24"/>
          <w:szCs w:val="24"/>
        </w:rPr>
        <w:t xml:space="preserve">В случае отчуждения основных средств до истечения указанного срока, субъект уплачивает НДС в таможенный орган, производивший выпуск товаров, в соответствии с таможенной процедурой выпуска для внутреннего потребления.";</w:t>
      </w:r>
    </w:p>
    <w:p>
      <w:pPr>
        <w:spacing w:after="60"/>
        <w:ind w:firstLine="567"/>
        <w:jc w:val="both"/>
      </w:pPr>
      <w:r>
        <w:rPr>
          <w:rFonts w:ascii="Arial" w:cs="Arial" w:eastAsia="Arial" w:hAnsi="Arial"/>
          <w:sz w:val="24"/>
          <w:szCs w:val="24"/>
        </w:rPr>
        <w:t xml:space="preserve">2) </w:t>
      </w:r>
      <w:hyperlink w:history="1" r:id="rIddpeje9xaqw-g-digzqxbg">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вышеуказанной Инструкции изложить в редакции согласно </w:t>
      </w:r>
      <w:hyperlink w:history="1" r:id="rIdqz6kd58x31yb2xxsbwaec">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Контроль за исполнением настоящего постановления возложить на отдел финансов и кредитной политики Аппарата Правительства Кыргызской Республики.</w:t>
      </w:r>
    </w:p>
    <w:p>
      <w:pPr>
        <w:spacing w:after="60"/>
        <w:ind w:firstLine="567"/>
        <w:jc w:val="both"/>
      </w:pPr>
      <w:r>
        <w:rPr>
          <w:rFonts w:ascii="Arial" w:cs="Arial" w:eastAsia="Arial" w:hAnsi="Arial"/>
          <w:sz w:val="24"/>
          <w:szCs w:val="24"/>
        </w:rPr>
        <w:t xml:space="preserve">3. Настоящее постановление подлежит официальному опубликованию и вступает в силу с 1 января 2018 года, за исключением абзаца пятого подпункта 1 пункта 1 настоящего постановления, который вступает в силу со дня вступления в силу </w:t>
      </w:r>
      <w:hyperlink w:history="1" r:id="rIdj9cd6ysh5rukdplqbcwc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Налоговый </w:t>
      </w:r>
      <w:hyperlink w:history="1" r:id="rId7n-o9-shgqtdj3pmdfh7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августа 2018 года № 86.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xteqeu2jrkd4--vpmszz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Инструкции по контролю за исчислением и уплатой таможенных платежей</w:t>
      </w:r>
    </w:p>
    <w:p>
      <w:pPr>
        <w:spacing w:after="400" w:before="400"/>
        <w:jc w:val="center"/>
      </w:pPr>
      <w:r>
        <w:rPr>
          <w:rFonts w:ascii="Arial" w:cs="Arial" w:eastAsia="Arial" w:hAnsi="Arial"/>
          <w:b/>
          <w:bCs/>
          <w:sz w:val="32"/>
          <w:szCs w:val="32"/>
        </w:rPr>
        <w:t xml:space="preserve">ФИРМЕННЫЙ БЛАНК НАЛОГОВОГО ОРГАНА</w:t>
      </w:r>
    </w:p>
    <w:p>
      <w:pPr>
        <w:spacing w:after="60"/>
        <w:ind w:firstLine="567"/>
        <w:jc w:val="both"/>
      </w:pPr>
      <w:r>
        <w:rPr>
          <w:rFonts w:ascii="Arial" w:cs="Arial" w:eastAsia="Arial" w:hAnsi="Arial"/>
          <w:sz w:val="24"/>
          <w:szCs w:val="24"/>
        </w:rPr>
        <w:t xml:space="preserve">№ ________________ от "___" _______________________ 20__ года</w:t>
      </w:r>
    </w:p>
    <w:p>
      <w:pPr>
        <w:spacing w:after="400" w:before="400"/>
        <w:jc w:val="center"/>
      </w:pPr>
      <w:r>
        <w:rPr>
          <w:rFonts w:ascii="Arial" w:cs="Arial" w:eastAsia="Arial" w:hAnsi="Arial"/>
          <w:b/>
          <w:bCs/>
          <w:sz w:val="32"/>
          <w:szCs w:val="32"/>
        </w:rPr>
        <w:t xml:space="preserve">СПРАВКА
 о налоговой регистрации налогоплательщика (для предоставления в таможенный орган)</w:t>
      </w:r>
    </w:p>
    <w:p>
      <w:pPr>
        <w:spacing w:after="60"/>
        <w:ind w:firstLine="567"/>
        <w:jc w:val="both"/>
      </w:pPr>
      <w:r>
        <w:rPr>
          <w:rFonts w:ascii="Arial" w:cs="Arial" w:eastAsia="Arial" w:hAnsi="Arial"/>
          <w:sz w:val="24"/>
          <w:szCs w:val="24"/>
        </w:rPr>
        <w:t xml:space="preserve">Дана ____________________________________________________________________________ о том,</w:t>
      </w:r>
    </w:p>
    <w:p>
      <w:pPr>
        <w:spacing w:after="60"/>
        <w:ind w:firstLine="567"/>
        <w:jc w:val="both"/>
      </w:pPr>
      <w:r>
        <w:rPr>
          <w:rFonts w:ascii="Arial" w:cs="Arial" w:eastAsia="Arial" w:hAnsi="Arial"/>
          <w:sz w:val="24"/>
          <w:szCs w:val="24"/>
        </w:rPr>
        <w:t xml:space="preserve">         (наименование организации или ФИО индивидуального предпринимателя полностью)</w:t>
      </w:r>
    </w:p>
    <w:p>
      <w:pPr>
        <w:spacing w:after="60"/>
        <w:ind w:firstLine="567"/>
        <w:jc w:val="both"/>
      </w:pPr>
      <w:r>
        <w:rPr>
          <w:rFonts w:ascii="Arial" w:cs="Arial" w:eastAsia="Arial" w:hAnsi="Arial"/>
          <w:sz w:val="24"/>
          <w:szCs w:val="24"/>
        </w:rPr>
        <w:t xml:space="preserve">что данный субъект действительно ________________________________ зарегистрирован в качестве</w:t>
      </w:r>
    </w:p>
    <w:p>
      <w:pPr>
        <w:spacing w:after="60"/>
        <w:ind w:firstLine="567"/>
        <w:jc w:val="both"/>
      </w:pPr>
      <w:r>
        <w:rPr>
          <w:rFonts w:ascii="Arial" w:cs="Arial" w:eastAsia="Arial" w:hAnsi="Arial"/>
          <w:sz w:val="24"/>
          <w:szCs w:val="24"/>
        </w:rPr>
        <w:t xml:space="preserve">                                                                       (дата регистрации)</w:t>
      </w:r>
    </w:p>
    <w:p>
      <w:pPr>
        <w:spacing w:after="60"/>
        <w:ind w:firstLine="567"/>
        <w:jc w:val="both"/>
      </w:pPr>
      <w:r>
        <w:rPr>
          <w:rFonts w:ascii="Arial" w:cs="Arial" w:eastAsia="Arial" w:hAnsi="Arial"/>
          <w:sz w:val="24"/>
          <w:szCs w:val="24"/>
        </w:rPr>
        <w:t xml:space="preserve">налогоплательщика в Управлении Государственной налоговой службы 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(район, город)</w:t>
      </w:r>
    </w:p>
    <w:p>
      <w:pPr>
        <w:spacing w:after="60"/>
        <w:ind w:firstLine="567"/>
        <w:jc w:val="both"/>
      </w:pPr>
      <w:r>
        <w:rPr>
          <w:rFonts w:ascii="Arial" w:cs="Arial" w:eastAsia="Arial" w:hAnsi="Arial"/>
          <w:sz w:val="24"/>
          <w:szCs w:val="24"/>
        </w:rPr>
        <w:t xml:space="preserve">присвоен идентификационный налоговый номер _____________________________________________</w:t>
      </w:r>
    </w:p>
    <w:p>
      <w:pPr>
        <w:spacing w:after="60"/>
        <w:ind w:firstLine="567"/>
        <w:jc w:val="both"/>
      </w:pPr>
      <w:r>
        <w:rPr>
          <w:rFonts w:ascii="Arial" w:cs="Arial" w:eastAsia="Arial" w:hAnsi="Arial"/>
          <w:sz w:val="24"/>
          <w:szCs w:val="24"/>
        </w:rPr>
        <w:t xml:space="preserve">                                                                                                                      (ИНН)</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     * (вид экономической деятельности, установленный частью 3 </w:t>
      </w:r>
      <w:r>
        <w:rPr>
          <w:rFonts w:ascii="Arial" w:cs="Arial" w:eastAsia="Arial" w:hAnsi="Arial"/>
          <w:sz w:val="24"/>
          <w:szCs w:val="24"/>
        </w:rPr>
        <w:t xml:space="preserve">статьи 259</w:t>
      </w:r>
      <w:r>
        <w:rPr>
          <w:rFonts w:ascii="Arial" w:cs="Arial" w:eastAsia="Arial" w:hAnsi="Arial"/>
          <w:sz w:val="24"/>
          <w:szCs w:val="24"/>
        </w:rPr>
        <w:t xml:space="preserve"> Налогового </w:t>
      </w:r>
      <w:hyperlink w:history="1" r:id="rIdgu_nmsempidnhzx_fymkt">
        <w:r>
          <w:rPr>
            <w:rFonts w:ascii="Arial" w:cs="Arial" w:eastAsia="Arial" w:hAnsi="Arial"/>
            <w:color w:val="1D4ED8"/>
            <w:sz w:val="24"/>
            <w:szCs w:val="24"/>
            <w:u w:val="single"/>
          </w:rPr>
          <w:t xml:space="preserve">кодекса</w:t>
        </w:r>
      </w:hyperlink>
    </w:p>
    <w:p>
      <w:pPr>
        <w:spacing w:after="60"/>
        <w:ind w:firstLine="567"/>
        <w:jc w:val="both"/>
      </w:pP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Справка дана для предъявления 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w:t>
      </w:r>
    </w:p>
    <w:p>
      <w:pPr>
        <w:spacing w:after="60"/>
        <w:ind w:firstLine="567"/>
        <w:jc w:val="both"/>
      </w:pPr>
      <w:r>
        <w:rPr>
          <w:rFonts w:ascii="Arial" w:cs="Arial" w:eastAsia="Arial" w:hAnsi="Arial"/>
          <w:sz w:val="24"/>
          <w:szCs w:val="24"/>
        </w:rPr>
        <w:t xml:space="preserve">Справка дана согласно пункту 43 </w:t>
      </w:r>
      <w:hyperlink w:history="1" r:id="rIdacmi4yxesq8xts9yraf-d">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контролю за исчислением и уплатой таможенных</w:t>
      </w:r>
    </w:p>
    <w:p>
      <w:pPr>
        <w:spacing w:after="60"/>
        <w:ind w:firstLine="567"/>
        <w:jc w:val="both"/>
      </w:pPr>
      <w:r>
        <w:rPr>
          <w:rFonts w:ascii="Arial" w:cs="Arial" w:eastAsia="Arial" w:hAnsi="Arial"/>
          <w:sz w:val="24"/>
          <w:szCs w:val="24"/>
        </w:rPr>
        <w:t xml:space="preserve">платежей, утвержденной </w:t>
      </w:r>
      <w:hyperlink w:history="1" r:id="rId0fbd-b8gxwdn0mzphkdf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w:t>
      </w:r>
    </w:p>
    <w:p>
      <w:pPr>
        <w:spacing w:after="60"/>
        <w:ind w:firstLine="567"/>
        <w:jc w:val="both"/>
      </w:pPr>
      <w:r>
        <w:rPr>
          <w:rFonts w:ascii="Arial" w:cs="Arial" w:eastAsia="Arial" w:hAnsi="Arial"/>
          <w:sz w:val="24"/>
          <w:szCs w:val="24"/>
        </w:rPr>
        <w:t xml:space="preserve">2015 года № 564.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при импорте основных средств по договору финансовой аренды (лизинга), вид экономической</w:t>
      </w:r>
    </w:p>
    <w:p>
      <w:pPr>
        <w:spacing w:after="60"/>
        <w:ind w:firstLine="567"/>
        <w:jc w:val="both"/>
      </w:pPr>
      <w:r>
        <w:rPr>
          <w:rFonts w:ascii="Arial" w:cs="Arial" w:eastAsia="Arial" w:hAnsi="Arial"/>
          <w:sz w:val="24"/>
          <w:szCs w:val="24"/>
        </w:rPr>
        <w:t xml:space="preserve">деятельности не заполняется.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налогового органа ______________________________________________________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_____________________________ 20__ 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negqwfe_o8op3ti7dapu">
      <w:r>
        <w:rPr>
          <w:rFonts w:ascii="Arial" w:cs="Arial" w:eastAsia="Arial" w:hAnsi="Arial"/>
          <w:color w:val="132D3F"/>
          <w:sz w:val="16"/>
          <w:szCs w:val="16"/>
          <w:u w:val="single"/>
        </w:rPr>
        <w:t xml:space="preserve">dalil.kg/document/13368</w:t>
      </w:r>
    </w:hyperlink>
  </w:p>
  <w:p>
    <w:pPr>
      <w:spacing w:after="0" w:before="40"/>
      <w:jc w:val="center"/>
    </w:pPr>
    <w:hyperlink w:history="1" r:id="rIdk1vo3l9s_47udtufyl8e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sgbbcexlvd1-qmhnndw2" Type="http://schemas.openxmlformats.org/officeDocument/2006/relationships/hyperlink" Target="https://dalil.kg/document/230000286" TargetMode="External"/><Relationship Id="rIdajtupkjwld01eisajnw-6" Type="http://schemas.openxmlformats.org/officeDocument/2006/relationships/hyperlink" Target="https://dalil.kg/document/202445" TargetMode="External"/><Relationship Id="rId6aenecou_ymrrgrldwdww" Type="http://schemas.openxmlformats.org/officeDocument/2006/relationships/hyperlink" Target="https://dalil.kg/document/203685" TargetMode="External"/><Relationship Id="rIdmnslkg9-jg4iw_s-ohpxx" Type="http://schemas.openxmlformats.org/officeDocument/2006/relationships/hyperlink" Target="https://dalil.kg/document/99065" TargetMode="External"/><Relationship Id="rId1eqzek_zniil7vdvyyut5" Type="http://schemas.openxmlformats.org/officeDocument/2006/relationships/hyperlink" Target="https://dalil.kg/document/205436" TargetMode="External"/><Relationship Id="rIdwathakmb-rhgub4pt8drj" Type="http://schemas.openxmlformats.org/officeDocument/2006/relationships/hyperlink" Target="https://dalil.kg/document/99069" TargetMode="External"/><Relationship Id="rIdmlu7_wijvzjcl6jddkbpq" Type="http://schemas.openxmlformats.org/officeDocument/2006/relationships/hyperlink" Target="https://dalil.kg/document/99065" TargetMode="External"/><Relationship Id="rIdj6lce8zpi5dis2nb0uaag" Type="http://schemas.openxmlformats.org/officeDocument/2006/relationships/hyperlink" Target="https://dalil.kg/document/99069#p1" TargetMode="External"/><Relationship Id="rIdkvrayfxnsgctcmnqn7hkq" Type="http://schemas.openxmlformats.org/officeDocument/2006/relationships/hyperlink" Target="https://dalil.kg/document/99069#p2" TargetMode="External"/><Relationship Id="rIdzujl7msxg13aq9_faqw0k" Type="http://schemas.openxmlformats.org/officeDocument/2006/relationships/hyperlink" Target="https://dalil.kg/document/99069#p2" TargetMode="External"/><Relationship Id="rIdvrx6iyoclzx0takvh4dwr" Type="http://schemas.openxmlformats.org/officeDocument/2006/relationships/hyperlink" Target="https://dalil.kg/document/99069#p1" TargetMode="External"/><Relationship Id="rIdvgldkvdtt36_p1-hfgdig" Type="http://schemas.openxmlformats.org/officeDocument/2006/relationships/hyperlink" Target="https://dalil.kg/document/99069#p3" TargetMode="External"/><Relationship Id="rIdhzth6-myknktqertaeozf" Type="http://schemas.openxmlformats.org/officeDocument/2006/relationships/hyperlink" Target="https://dalil.kg/document/99069#p3" TargetMode="External"/><Relationship Id="rIdyr0wxxfvlnvkue5th5q3d" Type="http://schemas.openxmlformats.org/officeDocument/2006/relationships/hyperlink" Target="https://dalil.kg/document/99069#p3" TargetMode="External"/><Relationship Id="rIdu6xrpmkqjmgwc18yrgyyg" Type="http://schemas.openxmlformats.org/officeDocument/2006/relationships/hyperlink" Target="https://dalil.kg/document/99069#p3" TargetMode="External"/><Relationship Id="rIddpeje9xaqw-g-digzqxbg" Type="http://schemas.openxmlformats.org/officeDocument/2006/relationships/hyperlink" Target="https://dalil.kg/document/99069#p3" TargetMode="External"/><Relationship Id="rIdqz6kd58x31yb2xxsbwaec" Type="http://schemas.openxmlformats.org/officeDocument/2006/relationships/hyperlink" Target="https://dalil.kg/document/13368#p1" TargetMode="External"/><Relationship Id="rIdj9cd6ysh5rukdplqbcwcj" Type="http://schemas.openxmlformats.org/officeDocument/2006/relationships/hyperlink" Target="https://dalil.kg/document/111823" TargetMode="External"/><Relationship Id="rId7n-o9-shgqtdj3pmdfh72" Type="http://schemas.openxmlformats.org/officeDocument/2006/relationships/hyperlink" Target="https://dalil.kg/document/202445" TargetMode="External"/><Relationship Id="rIdxteqeu2jrkd4--vpmszzn" Type="http://schemas.openxmlformats.org/officeDocument/2006/relationships/hyperlink" Target="https://dalil.kg/document/99069#p3" TargetMode="External"/><Relationship Id="rIdgu_nmsempidnhzx_fymkt" Type="http://schemas.openxmlformats.org/officeDocument/2006/relationships/hyperlink" Target="https://dalil.kg/document/202445" TargetMode="External"/><Relationship Id="rIdacmi4yxesq8xts9yraf-d" Type="http://schemas.openxmlformats.org/officeDocument/2006/relationships/hyperlink" Target="https://dalil.kg/document/99069" TargetMode="External"/><Relationship Id="rId0fbd-b8gxwdn0mzphkdfw" Type="http://schemas.openxmlformats.org/officeDocument/2006/relationships/hyperlink" Target="https://dalil.kg/document/99065"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negqwfe_o8op3ti7dapu" Type="http://schemas.openxmlformats.org/officeDocument/2006/relationships/hyperlink" Target="https://dalil.kg/document/13368" TargetMode="External"/><Relationship Id="rIdk1vo3l9s_47udtufyl8e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2026-09-24T17:09:26.751Z</dcterms:created>
  <dcterms:modified xsi:type="dcterms:W3CDTF">2026-09-24T17:09:26.751Z</dcterms:modified>
</cp:coreProperties>
</file>

<file path=docProps/custom.xml><?xml version="1.0" encoding="utf-8"?>
<Properties xmlns="http://schemas.openxmlformats.org/officeDocument/2006/custom-properties" xmlns:vt="http://schemas.openxmlformats.org/officeDocument/2006/docPropsVTypes"/>
</file>