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августа</w:t>
      </w:r>
      <w:r>
        <w:rPr>
          <w:rFonts w:ascii="Arial" w:cs="Arial" w:eastAsia="Arial" w:hAnsi="Arial"/>
          <w:sz w:val="24"/>
          <w:szCs w:val="24"/>
        </w:rPr>
        <w:t xml:space="preserve"> 2022 года № 0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№ 01 от 26 января 2022 г. «Об утверждении бюджета города Кара-Балта на 2022 г.и прогнозе бюджета города Кара-Балта на 2023 - 2024 гг.»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2, 4, статьи 115 Бюджетного </w:t>
      </w:r>
      <w:hyperlink w:history="1" r:id="rIdq58yzw4ff5o-aj5nri4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27, 34, 36 </w:t>
      </w:r>
      <w:hyperlink w:history="1" r:id="rIdgxzjlyiecp1hvqf-umd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а также принимая во внимание обращения жителей на сходах с мэром города Кара-Балта – Джекшеновым М.Р.,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ih6ijhmdff3hcvgnev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Кара - Балтинского городского кенеша «Об утверждении бюджета города Кара - Балта на 2022 год и прогнозе бюджета города Кара-Балта на 2023 - 2024 гг.» № 01 от 26 января 2022 года внести следующие изменения, мэрии города Кара-Балта произвести передвижку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ОМС при мэрии г. Кара-Балта на уменьшение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2111 «Заработная плата» на сумму 249,4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2121 «Взносы в Социальный фонд» на сумму 43,0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2215 «Приобретение прочих услуг» - всего.% на 3500,0тыс.сом.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(Ген.план на сумму 3000,0 тыс.сом., прочие расходы - 500,0 тыс.сом).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3792,4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2215 «Приобретение прочих товаров и услуг» (вывоз стихийного -мусора) в сумме 300,0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2221 «Расходы на текущий ремонт» (ирригационные работы)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3111 «Здания и сооружение» для строительства детских площадок в сумме 1500,0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МП «Универсал» при мэрии г. Кара-Балта на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- 2222 «Приобретение предметов и материалов для текущих целей» на освещение в сумме 950,0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Мэрия города Кара-Балта на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2111 «Заработная плата» на сумму 249,4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2121 «Взносы в Социальный фонд» на сумму 43,0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Городской Дворец культуры имени В.И. Ленина на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2215 «Приобретение прочих товаров и услуг» (проведение Дня города) в сумме 500,0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3792,4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для включения в Государственный реестр нормативно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 - 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ФЭО, ОМС на имущество при мэрии г. Кара-Балта, мэрии,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ГДК имени В.И. Ленина, МП «Универсал».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М.Дүйшеналиев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xgc5pvvozm8h_w7fy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dalil.kg/document/133781</w:t>
      </w:r>
    </w:hyperlink>
  </w:p>
  <w:p>
    <w:pPr>
      <w:spacing w:after="0" w:before="40"/>
      <w:jc w:val="center"/>
    </w:pPr>
    <w:hyperlink w:history="1" r:id="rId8shj7lx9eo9rq73qbej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8yzw4ff5o-aj5nri4pe" Type="http://schemas.openxmlformats.org/officeDocument/2006/relationships/hyperlink" Target="https://dalil.kg/document/111338" TargetMode="External"/><Relationship Id="rIdgxzjlyiecp1hvqf-umdzx" Type="http://schemas.openxmlformats.org/officeDocument/2006/relationships/hyperlink" Target="https://dalil.kg/document/112302" TargetMode="External"/><Relationship Id="rIdxih6ijhmdff3hcvgnev4j" Type="http://schemas.openxmlformats.org/officeDocument/2006/relationships/hyperlink" Target="https://dalil.kg/document/1311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xgc5pvvozm8h_w7fydh" Type="http://schemas.openxmlformats.org/officeDocument/2006/relationships/hyperlink" Target="https://dalil.kg/document/133781" TargetMode="External"/><Relationship Id="rId8shj7lx9eo9rq73qbej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2026-09-29T00:58:50.269Z</dcterms:created>
  <dcterms:modified xsi:type="dcterms:W3CDTF">2026-09-29T00:58:50.269Z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