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29 марта 2019 года № 139</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тарифах страховых взносов по государственному социальному страхованию", "Об инвестировании средств для финансирования накопительной части пенсии по государственному социальному страхованию в Кыргызской Республике",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abkuiw91r73n8p6zm60t4">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bkpk-7-yfvtalnw3q0gh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b5dgudqqe2hwe8nm_9w3x">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8sbhneoeb1cx6g5y2aeeg">
        <w:r>
          <w:rPr>
            <w:rFonts w:ascii="Arial" w:cs="Arial" w:eastAsia="Arial" w:hAnsi="Arial"/>
            <w:color w:val="1D4ED8"/>
            <w:sz w:val="24"/>
            <w:szCs w:val="24"/>
            <w:u w:val="single"/>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hyperlink>
      <w:r>
        <w:rPr>
          <w:rFonts w:ascii="Arial" w:cs="Arial" w:eastAsia="Arial" w:hAnsi="Arial"/>
          <w:sz w:val="24"/>
          <w:szCs w:val="24"/>
        </w:rPr>
        <w:t xml:space="preserve">", "</w:t>
      </w:r>
      <w:hyperlink w:history="1" r:id="rId4vnlmyusc2cdkivlfhnc3">
        <w:r>
          <w:rPr>
            <w:rFonts w:ascii="Arial" w:cs="Arial" w:eastAsia="Arial" w:hAnsi="Arial"/>
            <w:color w:val="1D4ED8"/>
            <w:sz w:val="24"/>
            <w:szCs w:val="24"/>
            <w:u w:val="single"/>
          </w:rPr>
          <w:t xml:space="preserve">О государственном пенсионном социальном страховании</w:t>
        </w:r>
      </w:hyperlink>
      <w:r>
        <w:rPr>
          <w:rFonts w:ascii="Arial" w:cs="Arial" w:eastAsia="Arial" w:hAnsi="Arial"/>
          <w:sz w:val="24"/>
          <w:szCs w:val="24"/>
        </w:rPr>
        <w:t xml:space="preserve">")", инициированный депутатом Жогорку Кенеша Кыргызской Республики Мамытовым Т.Т.</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29 марта 2019 года № 139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законы Кыргызской Республики "О тарифах страховых взносов по государственному социальному страхованию", "Об инвестировании средств для финансирования накопительной части пенсии по государственному социальному страхованию в Кыргызской Республике",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mdsmkgth3m2qf7-ec-jm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ieq1miyvnmmv8cbmfy8xx">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yyz04ae_axoalvun9nl2n">
        <w:r>
          <w:rPr>
            <w:rFonts w:ascii="Arial" w:cs="Arial" w:eastAsia="Arial" w:hAnsi="Arial"/>
            <w:color w:val="1D4ED8"/>
            <w:sz w:val="24"/>
            <w:szCs w:val="24"/>
            <w:u w:val="single"/>
          </w:rPr>
          <w:t xml:space="preserve">Об инвестировании средств для финансирования накопительной части пенсии по государственному социальному страхованию в Кыргызской Республике</w:t>
        </w:r>
      </w:hyperlink>
      <w:r>
        <w:rPr>
          <w:rFonts w:ascii="Arial" w:cs="Arial" w:eastAsia="Arial" w:hAnsi="Arial"/>
          <w:sz w:val="24"/>
          <w:szCs w:val="24"/>
        </w:rPr>
        <w:t xml:space="preserve">", "</w:t>
      </w:r>
      <w:hyperlink w:history="1" r:id="rIdnsybslzijer5s_kuuens4">
        <w:r>
          <w:rPr>
            <w:rFonts w:ascii="Arial" w:cs="Arial" w:eastAsia="Arial" w:hAnsi="Arial"/>
            <w:color w:val="1D4ED8"/>
            <w:sz w:val="24"/>
            <w:szCs w:val="24"/>
            <w:u w:val="single"/>
          </w:rPr>
          <w:t xml:space="preserve">О государственном пенсионном социальном страховании</w:t>
        </w:r>
      </w:hyperlink>
      <w:r>
        <w:rPr>
          <w:rFonts w:ascii="Arial" w:cs="Arial" w:eastAsia="Arial" w:hAnsi="Arial"/>
          <w:sz w:val="24"/>
          <w:szCs w:val="24"/>
        </w:rPr>
        <w:t xml:space="preserve">")" (далее - проект Закона), инициированный депутатом Жогорку Кенеша Кыргызской Республики Мамытовым Т.Т., приходит к следующему заключению.</w:t>
      </w:r>
    </w:p>
    <w:p>
      <w:pPr>
        <w:spacing w:after="60"/>
        <w:ind w:firstLine="567"/>
        <w:jc w:val="both"/>
      </w:pPr>
      <w:r>
        <w:rPr>
          <w:rFonts w:ascii="Arial" w:cs="Arial" w:eastAsia="Arial" w:hAnsi="Arial"/>
          <w:sz w:val="24"/>
          <w:szCs w:val="24"/>
        </w:rPr>
        <w:t xml:space="preserve">1. Согласно справке-обоснованию вышеназванный проект Закона разработан в целях устранения дублирования, противоречий и пробелов, внесения уточнений в действующее законодательство Кыргызской Республики в сфере социального страхования.</w:t>
      </w:r>
    </w:p>
    <w:p>
      <w:pPr>
        <w:spacing w:after="60"/>
        <w:ind w:firstLine="567"/>
        <w:jc w:val="both"/>
      </w:pPr>
      <w:r>
        <w:rPr>
          <w:rFonts w:ascii="Arial" w:cs="Arial" w:eastAsia="Arial" w:hAnsi="Arial"/>
          <w:sz w:val="24"/>
          <w:szCs w:val="24"/>
        </w:rPr>
        <w:t xml:space="preserve">Так, статьей 1 проекта Закона предусматривается внесение изменения в </w:t>
      </w:r>
      <w:r>
        <w:rPr>
          <w:rFonts w:ascii="Arial" w:cs="Arial" w:eastAsia="Arial" w:hAnsi="Arial"/>
          <w:sz w:val="24"/>
          <w:szCs w:val="24"/>
        </w:rPr>
        <w:t xml:space="preserve">статью 2</w:t>
      </w:r>
      <w:r>
        <w:rPr>
          <w:rFonts w:ascii="Arial" w:cs="Arial" w:eastAsia="Arial" w:hAnsi="Arial"/>
          <w:sz w:val="24"/>
          <w:szCs w:val="24"/>
        </w:rPr>
        <w:t xml:space="preserve"> </w:t>
      </w:r>
      <w:hyperlink w:history="1" r:id="rId81wmmfegyyiixtq9d0f4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согласно которому предлагается увеличить ставки тарифа страхового взноса в Государственный накопительный пенсионный фонд (далее - ГНПФ) с 2 до 5 процентов (на 3 процента) за счет снижения установленной ставки тарифа страхового взноса в Пенсионный фонд с 8 до 5 процентов.</w:t>
      </w:r>
    </w:p>
    <w:p>
      <w:pPr>
        <w:spacing w:after="60"/>
        <w:ind w:firstLine="567"/>
        <w:jc w:val="both"/>
      </w:pPr>
      <w:r>
        <w:rPr>
          <w:rFonts w:ascii="Arial" w:cs="Arial" w:eastAsia="Arial" w:hAnsi="Arial"/>
          <w:sz w:val="24"/>
          <w:szCs w:val="24"/>
        </w:rPr>
        <w:t xml:space="preserve">В свою очередь, в справке-обосновании к проекту Закона указывается, что принятие данного законопроекта не повлечет дополнительных финансовых затрат из республиканского бюджета, бюджета Социального фонда и со стороны предпринимателей.</w:t>
      </w:r>
    </w:p>
    <w:p>
      <w:pPr>
        <w:spacing w:after="60"/>
        <w:ind w:firstLine="567"/>
        <w:jc w:val="both"/>
      </w:pPr>
      <w:r>
        <w:rPr>
          <w:rFonts w:ascii="Arial" w:cs="Arial" w:eastAsia="Arial" w:hAnsi="Arial"/>
          <w:sz w:val="24"/>
          <w:szCs w:val="24"/>
        </w:rPr>
        <w:t xml:space="preserve">При этом отмечаем, что основой пенсионной системы Кыргызской Республики является обязательное государственное пенсионное страхование, которое представлено в виде условно-накопительной пенсионной системы. Доходы Пенсионного фонда состоят из страховых взносов работающих граждан и ассигнований, выделяемых Социальному фонду Кыргызской Республики из республиканского бюджета на выплату базовой части пенсии, льготной пенсии, надбавки к пенсиям отдельных категорий пенсионеров, пенсии военнослужащим.</w:t>
      </w:r>
    </w:p>
    <w:p>
      <w:pPr>
        <w:spacing w:after="60"/>
        <w:ind w:firstLine="567"/>
        <w:jc w:val="both"/>
      </w:pPr>
      <w:r>
        <w:rPr>
          <w:rFonts w:ascii="Arial" w:cs="Arial" w:eastAsia="Arial" w:hAnsi="Arial"/>
          <w:sz w:val="24"/>
          <w:szCs w:val="24"/>
        </w:rPr>
        <w:t xml:space="preserve">Финансовое состояние пенсионной системы зависит от страховых взносов плательщиков. Пенсионная система Кыргызской Республики базируется на принципе солидарности, который предполагает перераспределение средств при солидарной поддержке поколений.</w:t>
      </w:r>
    </w:p>
    <w:p>
      <w:pPr>
        <w:spacing w:after="60"/>
        <w:ind w:firstLine="567"/>
        <w:jc w:val="both"/>
      </w:pPr>
      <w:r>
        <w:rPr>
          <w:rFonts w:ascii="Arial" w:cs="Arial" w:eastAsia="Arial" w:hAnsi="Arial"/>
          <w:sz w:val="24"/>
          <w:szCs w:val="24"/>
        </w:rPr>
        <w:t xml:space="preserve">Вместе с этим следует отметить, что установление ставки тарифа страхового взноса в ГНПФ в размере 5 процентов, за счет снижения на 3 процента установленной ставки тарифа страхового взноса в Пенсионный фонд, повлечет следующие риски:</w:t>
      </w:r>
    </w:p>
    <w:p>
      <w:pPr>
        <w:spacing w:after="60"/>
        <w:ind w:firstLine="567"/>
        <w:jc w:val="both"/>
      </w:pPr>
      <w:r>
        <w:rPr>
          <w:rFonts w:ascii="Arial" w:cs="Arial" w:eastAsia="Arial" w:hAnsi="Arial"/>
          <w:sz w:val="24"/>
          <w:szCs w:val="24"/>
        </w:rPr>
        <w:t xml:space="preserve">- дефицит бюджета Пенсионного фонда:</w:t>
      </w:r>
    </w:p>
    <w:p>
      <w:pPr>
        <w:spacing w:after="60"/>
        <w:ind w:firstLine="567"/>
        <w:jc w:val="both"/>
      </w:pPr>
      <w:r>
        <w:rPr>
          <w:rFonts w:ascii="Arial" w:cs="Arial" w:eastAsia="Arial" w:hAnsi="Arial"/>
          <w:sz w:val="24"/>
          <w:szCs w:val="24"/>
        </w:rPr>
        <w:t xml:space="preserve">в 2019 году - 2353100000 (два миллиарда триста пятьдесят три миллиона сто тысяч) сомов;</w:t>
      </w:r>
    </w:p>
    <w:p>
      <w:pPr>
        <w:spacing w:after="60"/>
        <w:ind w:firstLine="567"/>
        <w:jc w:val="both"/>
      </w:pPr>
      <w:r>
        <w:rPr>
          <w:rFonts w:ascii="Arial" w:cs="Arial" w:eastAsia="Arial" w:hAnsi="Arial"/>
          <w:sz w:val="24"/>
          <w:szCs w:val="24"/>
        </w:rPr>
        <w:t xml:space="preserve">в 2020 году - 2515800000 (два миллиарда пятьсот пятнадцать миллионов восемьсот тысяч) сомов;</w:t>
      </w:r>
    </w:p>
    <w:p>
      <w:pPr>
        <w:spacing w:after="60"/>
        <w:ind w:firstLine="567"/>
        <w:jc w:val="both"/>
      </w:pPr>
      <w:r>
        <w:rPr>
          <w:rFonts w:ascii="Arial" w:cs="Arial" w:eastAsia="Arial" w:hAnsi="Arial"/>
          <w:sz w:val="24"/>
          <w:szCs w:val="24"/>
        </w:rPr>
        <w:t xml:space="preserve">в 2021 году - 2689500 000 (два миллиарда шестьсот восемьдесят девять миллионов пятьсот тысяч) сомов;</w:t>
      </w:r>
    </w:p>
    <w:p>
      <w:pPr>
        <w:spacing w:after="60"/>
        <w:ind w:firstLine="567"/>
        <w:jc w:val="both"/>
      </w:pPr>
      <w:r>
        <w:rPr>
          <w:rFonts w:ascii="Arial" w:cs="Arial" w:eastAsia="Arial" w:hAnsi="Arial"/>
          <w:sz w:val="24"/>
          <w:szCs w:val="24"/>
        </w:rPr>
        <w:t xml:space="preserve">- возникновение угрозы из-за несвоевременного финансирования пенсии, что вызовет социальное напряжение среди пенсионеров;</w:t>
      </w:r>
    </w:p>
    <w:p>
      <w:pPr>
        <w:spacing w:after="60"/>
        <w:ind w:firstLine="567"/>
        <w:jc w:val="both"/>
      </w:pPr>
      <w:r>
        <w:rPr>
          <w:rFonts w:ascii="Arial" w:cs="Arial" w:eastAsia="Arial" w:hAnsi="Arial"/>
          <w:sz w:val="24"/>
          <w:szCs w:val="24"/>
        </w:rPr>
        <w:t xml:space="preserve">- уменьшение размера второй страховой части пенсии, поскольку он зависит от уплачиваемых страховых взносов. При снижении ставки страховых взносов в Пенсионный фонд на 3 процента, сумма уплачиваемых страховых взносов будет меньше, и соответственно размер второй страховой части пенсии и сумма индексации к нему будут меньше;</w:t>
      </w:r>
    </w:p>
    <w:p>
      <w:pPr>
        <w:spacing w:after="60"/>
        <w:ind w:firstLine="567"/>
        <w:jc w:val="both"/>
      </w:pPr>
      <w:r>
        <w:rPr>
          <w:rFonts w:ascii="Arial" w:cs="Arial" w:eastAsia="Arial" w:hAnsi="Arial"/>
          <w:sz w:val="24"/>
          <w:szCs w:val="24"/>
        </w:rPr>
        <w:t xml:space="preserve">- невозможность поддержания размера пенсий на социально приемлемом уровне и увеличения численности низкодоходных групп пенсионеров (размер пенсии которых не достигает прожиточного минимума пенсионера) из-за отсутствия возможности ежегодного повышения пенсии.</w:t>
      </w:r>
    </w:p>
    <w:p>
      <w:pPr>
        <w:spacing w:after="60"/>
        <w:ind w:firstLine="567"/>
        <w:jc w:val="both"/>
      </w:pPr>
      <w:r>
        <w:rPr>
          <w:rFonts w:ascii="Arial" w:cs="Arial" w:eastAsia="Arial" w:hAnsi="Arial"/>
          <w:sz w:val="24"/>
          <w:szCs w:val="24"/>
        </w:rPr>
        <w:t xml:space="preserve">В связи с этим, в случае возникновения дефицита бюджета Социального фонда Кыргызской Республики Правительству Кыргызской Республики, в соответствии с пунктом 3 </w:t>
      </w:r>
      <w:r>
        <w:rPr>
          <w:rFonts w:ascii="Arial" w:cs="Arial" w:eastAsia="Arial" w:hAnsi="Arial"/>
          <w:sz w:val="24"/>
          <w:szCs w:val="24"/>
        </w:rPr>
        <w:t xml:space="preserve">статьи 36</w:t>
      </w:r>
      <w:r>
        <w:rPr>
          <w:rFonts w:ascii="Arial" w:cs="Arial" w:eastAsia="Arial" w:hAnsi="Arial"/>
          <w:sz w:val="24"/>
          <w:szCs w:val="24"/>
        </w:rPr>
        <w:t xml:space="preserve"> </w:t>
      </w:r>
      <w:hyperlink w:history="1" r:id="rIdtnpoup2m4hfrvzudh-x_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придется ежегодно предусматривать дотации из республиканского бюджета на покрытие общего дефицита Социального фонда Кыргызской Республики.</w:t>
      </w:r>
    </w:p>
    <w:p>
      <w:pPr>
        <w:spacing w:after="60"/>
        <w:ind w:firstLine="567"/>
        <w:jc w:val="both"/>
      </w:pPr>
      <w:r>
        <w:rPr>
          <w:rFonts w:ascii="Arial" w:cs="Arial" w:eastAsia="Arial" w:hAnsi="Arial"/>
          <w:sz w:val="24"/>
          <w:szCs w:val="24"/>
        </w:rPr>
        <w:t xml:space="preserve">Таким образом, в случае принятия проекта Закона доля средств, выделяемых Социальному фонду Кыргызской Республики из республиканского бюджета, значительно возрастет, и соответственно увеличится нагрузка на республиканский бюджет.</w:t>
      </w:r>
    </w:p>
    <w:p>
      <w:pPr>
        <w:spacing w:after="60"/>
        <w:ind w:firstLine="567"/>
        <w:jc w:val="both"/>
      </w:pPr>
      <w:r>
        <w:rPr>
          <w:rFonts w:ascii="Arial" w:cs="Arial" w:eastAsia="Arial" w:hAnsi="Arial"/>
          <w:sz w:val="24"/>
          <w:szCs w:val="24"/>
        </w:rPr>
        <w:t xml:space="preserve">На основании вышеизложенного статью 1 проекта Закона предлагаем исключить.</w:t>
      </w:r>
    </w:p>
    <w:p>
      <w:pPr>
        <w:spacing w:after="60"/>
        <w:ind w:firstLine="567"/>
        <w:jc w:val="both"/>
      </w:pPr>
      <w:r>
        <w:rPr>
          <w:rFonts w:ascii="Arial" w:cs="Arial" w:eastAsia="Arial" w:hAnsi="Arial"/>
          <w:sz w:val="24"/>
          <w:szCs w:val="24"/>
        </w:rPr>
        <w:t xml:space="preserve">В порядке информации сообщаем, что решением Комитета по социальным вопросам, образованию, науке, культуре и здравоохранению Жогорку Кенеша Кыргызской Республики от 10 декабря 2018 года образована межведомственная рабочая группа по выработке согласованного подхода к решению вопросов тарифной политики государственного социального страхования, в состав которой вошли депутаты Жогорку Кенеша Кыргызской Республики, представители Аппарата Президента Кыргызской Республики, Аппарата Правительства Кыргызской Республики, государственных органов и бизнес-сообщества.</w:t>
      </w:r>
    </w:p>
    <w:p>
      <w:pPr>
        <w:spacing w:after="60"/>
        <w:ind w:firstLine="567"/>
        <w:jc w:val="both"/>
      </w:pPr>
      <w:r>
        <w:rPr>
          <w:rFonts w:ascii="Arial" w:cs="Arial" w:eastAsia="Arial" w:hAnsi="Arial"/>
          <w:sz w:val="24"/>
          <w:szCs w:val="24"/>
        </w:rPr>
        <w:t xml:space="preserve">Данной межведомственной рабочей группой ведется работа по снижению общеустановленных ставок тарифов страховых взносов по государственному социальному страхованию, а также пересмотру ставок тарифов страховых взносов для крестьянских (фермерских) хозяйств без образования юридического лица и индивидуальных предпринимателей.</w:t>
      </w:r>
    </w:p>
    <w:p>
      <w:pPr>
        <w:spacing w:after="60"/>
        <w:ind w:firstLine="567"/>
        <w:jc w:val="both"/>
      </w:pPr>
      <w:r>
        <w:rPr>
          <w:rFonts w:ascii="Arial" w:cs="Arial" w:eastAsia="Arial" w:hAnsi="Arial"/>
          <w:sz w:val="24"/>
          <w:szCs w:val="24"/>
        </w:rPr>
        <w:t xml:space="preserve">2. Пунктом 1 статьи 2 проекта Закона предусматривается часть 1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8t69yecp8wjlfm2_eyhr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дополнить пунктами 8 и 9, согласно которым предлагается "изымать пенсионные накопления в любое время для финансирования ипотечного кредитования" и "изымать пенсионные накопления по состоянию здоровья в экстренных, неотложных случаях".</w:t>
      </w:r>
    </w:p>
    <w:p>
      <w:pPr>
        <w:spacing w:after="60"/>
        <w:ind w:firstLine="567"/>
        <w:jc w:val="both"/>
      </w:pPr>
      <w:r>
        <w:rPr>
          <w:rFonts w:ascii="Arial" w:cs="Arial" w:eastAsia="Arial" w:hAnsi="Arial"/>
          <w:sz w:val="24"/>
          <w:szCs w:val="24"/>
        </w:rPr>
        <w:t xml:space="preserve">При этом проектом Закона не уточняется, какие именно случаи являются "экстренными и неотложными", и какой субъект определяет неотложность и экстренность случаев.</w:t>
      </w:r>
    </w:p>
    <w:p>
      <w:pPr>
        <w:spacing w:after="60"/>
        <w:ind w:firstLine="567"/>
        <w:jc w:val="both"/>
      </w:pPr>
      <w:r>
        <w:rPr>
          <w:rFonts w:ascii="Arial" w:cs="Arial" w:eastAsia="Arial" w:hAnsi="Arial"/>
          <w:sz w:val="24"/>
          <w:szCs w:val="24"/>
        </w:rPr>
        <w:t xml:space="preserve">Вместе с тем, 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hwzxuj0jkph2sv2pdvdq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и </w:t>
      </w:r>
      <w:hyperlink w:history="1" r:id="rIdyron0y8jijow0ux-nmm2_">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утвержденными </w:t>
      </w:r>
      <w:hyperlink w:history="1" r:id="rIdvrnhfcj6722uu-zbun9k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2012 года № 745, изъятие средств пенсионных накоплений предусматривается в следующих случаях:</w:t>
      </w:r>
    </w:p>
    <w:p>
      <w:pPr>
        <w:spacing w:after="60"/>
        <w:ind w:firstLine="567"/>
        <w:jc w:val="both"/>
      </w:pPr>
      <w:r>
        <w:rPr>
          <w:rFonts w:ascii="Arial" w:cs="Arial" w:eastAsia="Arial" w:hAnsi="Arial"/>
          <w:sz w:val="24"/>
          <w:szCs w:val="24"/>
        </w:rPr>
        <w:t xml:space="preserve">- при получении средств пенсионных накоплений наследниками умершего застрахованного лица в случае смерти застрахованного лица;</w:t>
      </w:r>
    </w:p>
    <w:p>
      <w:pPr>
        <w:spacing w:after="60"/>
        <w:ind w:firstLine="567"/>
        <w:jc w:val="both"/>
      </w:pPr>
      <w:r>
        <w:rPr>
          <w:rFonts w:ascii="Arial" w:cs="Arial" w:eastAsia="Arial" w:hAnsi="Arial"/>
          <w:sz w:val="24"/>
          <w:szCs w:val="24"/>
        </w:rPr>
        <w:t xml:space="preserve">- при выезде застрахованного лица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В указанных случаях застрахованные лица после полного изъятия своих пенсионных накоплений выходят из накопительной пенсионной системы.</w:t>
      </w:r>
    </w:p>
    <w:p>
      <w:pPr>
        <w:spacing w:after="60"/>
        <w:ind w:firstLine="567"/>
        <w:jc w:val="both"/>
      </w:pPr>
      <w:r>
        <w:rPr>
          <w:rFonts w:ascii="Arial" w:cs="Arial" w:eastAsia="Arial" w:hAnsi="Arial"/>
          <w:sz w:val="24"/>
          <w:szCs w:val="24"/>
        </w:rPr>
        <w:t xml:space="preserve">В связи с этим, во избежание неясностей в правоприменительной практике пункт 1 статьи 2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"часть 1 статьи 4 дополнить пунктами 8 и 9 следующего содержания:</w:t>
      </w:r>
    </w:p>
    <w:p>
      <w:pPr>
        <w:spacing w:after="60"/>
        <w:ind w:firstLine="567"/>
        <w:jc w:val="both"/>
      </w:pPr>
      <w:r>
        <w:rPr>
          <w:rFonts w:ascii="Arial" w:cs="Arial" w:eastAsia="Arial" w:hAnsi="Arial"/>
          <w:sz w:val="24"/>
          <w:szCs w:val="24"/>
        </w:rPr>
        <w:t xml:space="preserve">8) получать пенсионные накопления на финансирование первоначального взноса при участии в ипотечном кредитовании,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9) получать пенсионные накопления на оплату лечения при заболеваниях, представляющих серьезную угрозу жизни,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3. Также в соответствии с пунктом 2 статьи 2 проекта Закона вносятся изменения в пункт 10 части 2 </w:t>
      </w:r>
      <w:r>
        <w:rPr>
          <w:rFonts w:ascii="Arial" w:cs="Arial" w:eastAsia="Arial" w:hAnsi="Arial"/>
          <w:sz w:val="24"/>
          <w:szCs w:val="24"/>
        </w:rPr>
        <w:t xml:space="preserve">статьи 5</w:t>
      </w:r>
      <w:r>
        <w:rPr>
          <w:rFonts w:ascii="Arial" w:cs="Arial" w:eastAsia="Arial" w:hAnsi="Arial"/>
          <w:sz w:val="24"/>
          <w:szCs w:val="24"/>
        </w:rPr>
        <w:t xml:space="preserve"> </w:t>
      </w:r>
      <w:hyperlink w:history="1" r:id="rId20ekxlk17dbcitz3wtmd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согласно которым в обязанности Социального фонда Кыргызской Республики предлагается дополнительно включить выплату накопительной части пенсии в случаях финансирования ипотечного кредитования, по состоянию здоровья в экстренных, неотложных случаях.</w:t>
      </w:r>
    </w:p>
    <w:p>
      <w:pPr>
        <w:spacing w:after="60"/>
        <w:ind w:firstLine="567"/>
        <w:jc w:val="both"/>
      </w:pPr>
      <w:r>
        <w:rPr>
          <w:rFonts w:ascii="Arial" w:cs="Arial" w:eastAsia="Arial" w:hAnsi="Arial"/>
          <w:sz w:val="24"/>
          <w:szCs w:val="24"/>
        </w:rPr>
        <w:t xml:space="preserve">В целях исключения неясностей и спорных ситуаций в правоприменительной практике пункт 10 части 2 </w:t>
      </w:r>
      <w:r>
        <w:rPr>
          <w:rFonts w:ascii="Arial" w:cs="Arial" w:eastAsia="Arial" w:hAnsi="Arial"/>
          <w:sz w:val="24"/>
          <w:szCs w:val="24"/>
        </w:rPr>
        <w:t xml:space="preserve">статьи 5</w:t>
      </w:r>
      <w:r>
        <w:rPr>
          <w:rFonts w:ascii="Arial" w:cs="Arial" w:eastAsia="Arial" w:hAnsi="Arial"/>
          <w:sz w:val="24"/>
          <w:szCs w:val="24"/>
        </w:rPr>
        <w:t xml:space="preserve"> вышеуказанного </w:t>
      </w:r>
      <w:hyperlink w:history="1" r:id="rIdapgegmowl_lq7byp9sqm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предлагаем изложить в следующей редакции:</w:t>
      </w:r>
    </w:p>
    <w:p>
      <w:pPr>
        <w:spacing w:after="60"/>
        <w:ind w:firstLine="567"/>
        <w:jc w:val="both"/>
      </w:pPr>
      <w:r>
        <w:rPr>
          <w:rFonts w:ascii="Arial" w:cs="Arial" w:eastAsia="Arial" w:hAnsi="Arial"/>
          <w:sz w:val="24"/>
          <w:szCs w:val="24"/>
        </w:rPr>
        <w:t xml:space="preserve">"10) осуществлять выплаты накопительной части пенсии, выплаты в случае смерти застрахованного лица его наследникам в случаях, установленных </w:t>
      </w:r>
      <w:hyperlink w:history="1" r:id="rIdh7hiveee9fufvxwl29lk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а также для финансирования первоначального взноса при участии в ипотечном кредитовании, на оплату лечения при заболеваниях, представляющих серьезную угрозу жизни,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4. Относительно статьи 3 проекта Закона отмечаем что, </w:t>
      </w:r>
      <w:r>
        <w:rPr>
          <w:rFonts w:ascii="Arial" w:cs="Arial" w:eastAsia="Arial" w:hAnsi="Arial"/>
          <w:sz w:val="24"/>
          <w:szCs w:val="24"/>
        </w:rPr>
        <w:t xml:space="preserve">статьей 1</w:t>
      </w:r>
      <w:r>
        <w:rPr>
          <w:rFonts w:ascii="Arial" w:cs="Arial" w:eastAsia="Arial" w:hAnsi="Arial"/>
          <w:sz w:val="24"/>
          <w:szCs w:val="24"/>
        </w:rPr>
        <w:t xml:space="preserve"> </w:t>
      </w:r>
      <w:hyperlink w:history="1" r:id="rIdbfukaf3nkqdjfkmdkkhc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установлено, что государственное социальное страхование является системой гарантированных государством видов обеспечения застрахованных лиц при утрате ими заработка или дохода вследствие трудового увечья или профессионального заболевания, инвалидности, старости, потери кормильца и смерти за счет обязательных страховых взносов работодателей и граждан.</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названного </w:t>
      </w:r>
      <w:hyperlink w:history="1" r:id="rIdacsgn-izka3cn9sqvwax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страховой случай - свершившееся событие, с наступлением которого возникает обязанность страховщика произвести страховую выплату застрахованному лицу или компенсировать понесенные им затраты.</w:t>
      </w:r>
    </w:p>
    <w:p>
      <w:pPr>
        <w:spacing w:after="60"/>
        <w:ind w:firstLine="567"/>
        <w:jc w:val="both"/>
      </w:pPr>
      <w:r>
        <w:rPr>
          <w:rFonts w:ascii="Arial" w:cs="Arial" w:eastAsia="Arial" w:hAnsi="Arial"/>
          <w:sz w:val="24"/>
          <w:szCs w:val="24"/>
        </w:rPr>
        <w:t xml:space="preserve">Так, </w:t>
      </w:r>
      <w:hyperlink w:history="1" r:id="rIdcrhl4gpgu6gs3cndtvuz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установлены три вида пенсий, выплачиваемых при наступлении страховых случаев по возрасту, инвалидности, по случаю потери кормильца.</w:t>
      </w:r>
    </w:p>
    <w:p>
      <w:pPr>
        <w:spacing w:after="60"/>
        <w:ind w:firstLine="567"/>
        <w:jc w:val="both"/>
      </w:pPr>
      <w:r>
        <w:rPr>
          <w:rFonts w:ascii="Arial" w:cs="Arial" w:eastAsia="Arial" w:hAnsi="Arial"/>
          <w:sz w:val="24"/>
          <w:szCs w:val="24"/>
        </w:rPr>
        <w:t xml:space="preserve">Предложенные статьей 3 проекта Закона нормы выплат не являются страховыми случаями, а также не являются предметом регулирования </w:t>
      </w:r>
      <w:hyperlink w:history="1" r:id="rIdovav-uar8skeogfcglnn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Более того, отмечаем что, в статье 3 проекта Закона используется бланкетная ссылка на законодательство в целом.</w:t>
      </w:r>
    </w:p>
    <w:p>
      <w:pPr>
        <w:spacing w:after="60"/>
        <w:ind w:firstLine="567"/>
        <w:jc w:val="both"/>
      </w:pPr>
      <w:r>
        <w:rPr>
          <w:rFonts w:ascii="Arial" w:cs="Arial" w:eastAsia="Arial" w:hAnsi="Arial"/>
          <w:sz w:val="24"/>
          <w:szCs w:val="24"/>
        </w:rPr>
        <w:t xml:space="preserve">Однако следует учесть, что согласно пункту 78 </w:t>
      </w:r>
      <w:hyperlink w:history="1" r:id="rId6ogb3ipldkvb5uopzdvm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gdz8qc7nphen5uz25wxs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w:t>
      </w:r>
    </w:p>
    <w:p>
      <w:pPr>
        <w:spacing w:after="60"/>
        <w:ind w:firstLine="567"/>
        <w:jc w:val="both"/>
      </w:pPr>
      <w:r>
        <w:rPr>
          <w:rFonts w:ascii="Arial" w:cs="Arial" w:eastAsia="Arial" w:hAnsi="Arial"/>
          <w:sz w:val="24"/>
          <w:szCs w:val="24"/>
        </w:rPr>
        <w:t xml:space="preserve">С учетом изложенного, а также в связи с тем, что правовые основы регулирования отношений по формированию и инвестированию средств пенсионных накоплений, предназначенных для финансирования накопительной части пенсии по государственному социальному страхованию, правовой статус, права, обязанности и ответственность субъектов и участников по формированию и инвестированию средств пенсионных накоплений устанавливаются </w:t>
      </w:r>
      <w:hyperlink w:history="1" r:id="rIdknm7ml4_bu7k9u2fkynj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предлагаем статью 3 проекта Закона исключить.</w:t>
      </w:r>
    </w:p>
    <w:p>
      <w:pPr>
        <w:spacing w:after="60"/>
        <w:ind w:firstLine="567"/>
        <w:jc w:val="both"/>
      </w:pPr>
      <w:r>
        <w:rPr>
          <w:rFonts w:ascii="Arial" w:cs="Arial" w:eastAsia="Arial" w:hAnsi="Arial"/>
          <w:sz w:val="24"/>
          <w:szCs w:val="24"/>
        </w:rPr>
        <w:t xml:space="preserve">5. Частью 2 статьи 4 проекта Закона предусматривается Правительству Кыргызской Республики в трехмесячный срок со дня официального опубликования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При этом, согласно </w:t>
      </w:r>
      <w:r>
        <w:rPr>
          <w:rFonts w:ascii="Arial" w:cs="Arial" w:eastAsia="Arial" w:hAnsi="Arial"/>
          <w:sz w:val="24"/>
          <w:szCs w:val="24"/>
        </w:rPr>
        <w:t xml:space="preserve">статье 24</w:t>
      </w:r>
      <w:r>
        <w:rPr>
          <w:rFonts w:ascii="Arial" w:cs="Arial" w:eastAsia="Arial" w:hAnsi="Arial"/>
          <w:sz w:val="24"/>
          <w:szCs w:val="24"/>
        </w:rPr>
        <w:t xml:space="preserve"> </w:t>
      </w:r>
      <w:hyperlink w:history="1" r:id="rId7tderrhlwdiqyvcrqwxg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В связи с этим предлагаем в проекте Закона установить шестимесячный срок для приведения нормативных правовых актов в соответствие с принятым Законом.</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целесообразным доработать проект Закона, с учетом замечаний и предложений, изложенных в данном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uhcnwhqevjqxklmpobp">
      <w:r>
        <w:rPr>
          <w:rFonts w:ascii="Arial" w:cs="Arial" w:eastAsia="Arial" w:hAnsi="Arial"/>
          <w:color w:val="132D3F"/>
          <w:sz w:val="16"/>
          <w:szCs w:val="16"/>
          <w:u w:val="single"/>
        </w:rPr>
        <w:t xml:space="preserve">dalil.kg/document/13445</w:t>
      </w:r>
    </w:hyperlink>
  </w:p>
  <w:p>
    <w:pPr>
      <w:spacing w:after="0" w:before="40"/>
      <w:jc w:val="center"/>
    </w:pPr>
    <w:hyperlink w:history="1" r:id="rIdo48kersqqlt78btxb6zk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kuiw91r73n8p6zm60t4" Type="http://schemas.openxmlformats.org/officeDocument/2006/relationships/hyperlink" Target="https://dalil.kg/document/203685" TargetMode="External"/><Relationship Id="rIdbkpk-7-yfvtalnw3q0ghr" Type="http://schemas.openxmlformats.org/officeDocument/2006/relationships/hyperlink" Target="https://dalil.kg/document/13445#p1" TargetMode="External"/><Relationship Id="rIdb5dgudqqe2hwe8nm_9w3x" Type="http://schemas.openxmlformats.org/officeDocument/2006/relationships/hyperlink" Target="https://dalil.kg/document/1393" TargetMode="External"/><Relationship Id="rId8sbhneoeb1cx6g5y2aeeg" Type="http://schemas.openxmlformats.org/officeDocument/2006/relationships/hyperlink" Target="https://dalil.kg/document/203321" TargetMode="External"/><Relationship Id="rId4vnlmyusc2cdkivlfhnc3" Type="http://schemas.openxmlformats.org/officeDocument/2006/relationships/hyperlink" Target="https://dalil.kg/document/557" TargetMode="External"/><Relationship Id="rIdmdsmkgth3m2qf7-ec-jme" Type="http://schemas.openxmlformats.org/officeDocument/2006/relationships/hyperlink" Target="https://dalil.kg/document/203685" TargetMode="External"/><Relationship Id="rIdieq1miyvnmmv8cbmfy8xx" Type="http://schemas.openxmlformats.org/officeDocument/2006/relationships/hyperlink" Target="https://dalil.kg/document/1393" TargetMode="External"/><Relationship Id="rIdyyz04ae_axoalvun9nl2n" Type="http://schemas.openxmlformats.org/officeDocument/2006/relationships/hyperlink" Target="https://dalil.kg/document/203321" TargetMode="External"/><Relationship Id="rIdnsybslzijer5s_kuuens4" Type="http://schemas.openxmlformats.org/officeDocument/2006/relationships/hyperlink" Target="https://dalil.kg/document/557" TargetMode="External"/><Relationship Id="rId81wmmfegyyiixtq9d0f44" Type="http://schemas.openxmlformats.org/officeDocument/2006/relationships/hyperlink" Target="https://dalil.kg/document/1393" TargetMode="External"/><Relationship Id="rIdtnpoup2m4hfrvzudh-x_5" Type="http://schemas.openxmlformats.org/officeDocument/2006/relationships/hyperlink" Target="https://dalil.kg/document/557" TargetMode="External"/><Relationship Id="rId8t69yecp8wjlfm2_eyhr7" Type="http://schemas.openxmlformats.org/officeDocument/2006/relationships/hyperlink" Target="https://dalil.kg/document/203321" TargetMode="External"/><Relationship Id="rIdhwzxuj0jkph2sv2pdvdql" Type="http://schemas.openxmlformats.org/officeDocument/2006/relationships/hyperlink" Target="https://dalil.kg/document/203321" TargetMode="External"/><Relationship Id="rIdyron0y8jijow0ux-nmm2_" Type="http://schemas.openxmlformats.org/officeDocument/2006/relationships/hyperlink" Target="https://dalil.kg/document/93751" TargetMode="External"/><Relationship Id="rIdvrnhfcj6722uu-zbun9kv" Type="http://schemas.openxmlformats.org/officeDocument/2006/relationships/hyperlink" Target="https://dalil.kg/document/93993" TargetMode="External"/><Relationship Id="rId20ekxlk17dbcitz3wtmd2" Type="http://schemas.openxmlformats.org/officeDocument/2006/relationships/hyperlink" Target="https://dalil.kg/document/203321" TargetMode="External"/><Relationship Id="rIdapgegmowl_lq7byp9sqm6" Type="http://schemas.openxmlformats.org/officeDocument/2006/relationships/hyperlink" Target="https://dalil.kg/document/203321" TargetMode="External"/><Relationship Id="rIdh7hiveee9fufvxwl29lkz" Type="http://schemas.openxmlformats.org/officeDocument/2006/relationships/hyperlink" Target="https://dalil.kg/document/557" TargetMode="External"/><Relationship Id="rIdbfukaf3nkqdjfkmdkkhcw" Type="http://schemas.openxmlformats.org/officeDocument/2006/relationships/hyperlink" Target="https://dalil.kg/document/557" TargetMode="External"/><Relationship Id="rIdacsgn-izka3cn9sqvwaxj" Type="http://schemas.openxmlformats.org/officeDocument/2006/relationships/hyperlink" Target="https://dalil.kg/document/557" TargetMode="External"/><Relationship Id="rIdcrhl4gpgu6gs3cndtvuzw" Type="http://schemas.openxmlformats.org/officeDocument/2006/relationships/hyperlink" Target="https://dalil.kg/document/557" TargetMode="External"/><Relationship Id="rIdovav-uar8skeogfcglnn5" Type="http://schemas.openxmlformats.org/officeDocument/2006/relationships/hyperlink" Target="https://dalil.kg/document/557" TargetMode="External"/><Relationship Id="rId6ogb3ipldkvb5uopzdvmk" Type="http://schemas.openxmlformats.org/officeDocument/2006/relationships/hyperlink" Target="https://dalil.kg/document/76491" TargetMode="External"/><Relationship Id="rIdgdz8qc7nphen5uz25wxsv" Type="http://schemas.openxmlformats.org/officeDocument/2006/relationships/hyperlink" Target="https://dalil.kg/document/76490" TargetMode="External"/><Relationship Id="rIdknm7ml4_bu7k9u2fkynjz" Type="http://schemas.openxmlformats.org/officeDocument/2006/relationships/hyperlink" Target="https://dalil.kg/document/203321" TargetMode="External"/><Relationship Id="rId7tderrhlwdiqyvcrqwxgq"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uhcnwhqevjqxklmpobp" Type="http://schemas.openxmlformats.org/officeDocument/2006/relationships/hyperlink" Target="https://dalil.kg/document/13445" TargetMode="External"/><Relationship Id="rIdo48kersqqlt78btxb6zk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2026-10-01T22:20:09.230Z</dcterms:created>
  <dcterms:modified xsi:type="dcterms:W3CDTF">2026-10-01T22:20:09.230Z</dcterms:modified>
</cp:coreProperties>
</file>

<file path=docProps/custom.xml><?xml version="1.0" encoding="utf-8"?>
<Properties xmlns="http://schemas.openxmlformats.org/officeDocument/2006/custom-properties" xmlns:vt="http://schemas.openxmlformats.org/officeDocument/2006/docPropsVTypes"/>
</file>