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2019 года № 146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некоторые законодательные акты по вопросам регулирования прав недееспособных лиц (части 1, 2 Гражданского кодекса Кыргызской Республики, Закон Кыргызской Республики "О государственной регистрации прав на недвижимое имущество и сделок с ним")"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zn0q1fdgxupfx2zjod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itpcvjcvk8f0hxngd4x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некоторые законодательные акты по вопросам регулирования прав недееспособных лиц (части </w:t>
      </w:r>
      <w:hyperlink w:history="1" r:id="rId5yak0p1sdipn3l0v_fx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tpalil7zxg-kidbko_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</w:t>
      </w:r>
      <w:hyperlink w:history="1" r:id="rIdwvsveh0bp-qjssel8yj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ним")", инициированный депутатом Жогорку Кенеша Кыргызской Республики Бекешевым Д.Д.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29 марта 2019 года № 146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Закона Кыргызской Республики "О внесении изменений в некоторые законодательные акты по вопросам регулирования прав недееспособных лиц (части 1, 2 Гражданского кодекса Кыргызской Республики, Закон Кыргызской Республики "О государственной регистрации прав на недвижимое имущество и сделок с ним")"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lewgrd5iv6j4zoqfl6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изменений в некоторые законодательные акты по вопросам регулирования прав недееспособных лиц (части </w:t>
      </w:r>
      <w:hyperlink w:history="1" r:id="rIdoftswq3ttkyxid6vemg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dhwyyofs2j00kcerbl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</w:t>
      </w:r>
      <w:hyperlink w:history="1" r:id="rId_eck-s7aiixggap_8ur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ним")" (далее - проект Закона), инициированный депутатом Жогорку Кенеша Кыргызской Республики Бекешевым Д.Д.,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справке-обоснованию проект Закона разработан с учетом положений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правах инвалидов, в целях защиты прав недееспособных лиц от недобросовестных действий со стороны опекунов и попечителей.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Так, проектом Закона предлагается внести изменения в Гражданский </w:t>
      </w:r>
      <w:hyperlink w:history="1" r:id="rIdt9jqyerwm2j1bbufq3d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nddftmzkv0fa7xcdqux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ним", согласно которым: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опекуны и попечители будут вправе отчуждать принадлежащее недееспособным лицам имущество только с согласия недееспособного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недееспособные лица будут вправе подавать исковые заявления в суд;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недееспособные лица будут вправе обращаться в регистрирующий орган о недопустимости регистрации (перерегистрации) прав на принадлежащее ему недвижимое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r>
        <w:rPr>
          <w:rFonts w:ascii="Arial" w:cs="Arial" w:eastAsia="Arial" w:hAnsi="Arial"/>
          <w:sz w:val="24"/>
          <w:szCs w:val="24"/>
        </w:rPr>
        <w:t xml:space="preserve">статье 64</w:t>
      </w:r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hyperlink w:history="1" r:id="rId3gq3kvqhbioztecnz5i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гражданин, который вследствие психического расстройства не может понимать значения своих действий или руководить ими, может быть признан судом недееспособным, в связи с чем над ним устанавливается опека.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недееспособность характеризуется и определяется двумя составляющими: первая - это наличие психического заболевания, а вторая - это непонимание значения своих действий и невозможность руководить 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очередь, из </w:t>
      </w:r>
      <w:r>
        <w:rPr>
          <w:rFonts w:ascii="Arial" w:cs="Arial" w:eastAsia="Arial" w:hAnsi="Arial"/>
          <w:sz w:val="24"/>
          <w:szCs w:val="24"/>
        </w:rPr>
        <w:t xml:space="preserve">статьи 66</w:t>
      </w:r>
      <w:r>
        <w:rPr>
          <w:rFonts w:ascii="Arial" w:cs="Arial" w:eastAsia="Arial" w:hAnsi="Arial"/>
          <w:sz w:val="24"/>
          <w:szCs w:val="24"/>
        </w:rPr>
        <w:t xml:space="preserve"> указанного </w:t>
      </w:r>
      <w:hyperlink w:history="1" r:id="rId3cuhpuv9ux0-b67ugxn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следует, что установление опеки направлено на защиту прав и интересов недееспособного лица в отношениях с любыми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законодательством Кыргызской Республики установлены следующие механизмы защиты прав недееспособных лиц от действий недобросовестных опекунов и попечителей.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r>
        <w:rPr>
          <w:rFonts w:ascii="Arial" w:cs="Arial" w:eastAsia="Arial" w:hAnsi="Arial"/>
          <w:sz w:val="24"/>
          <w:szCs w:val="24"/>
        </w:rPr>
        <w:t xml:space="preserve">статье 69</w:t>
      </w:r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hyperlink w:history="1" r:id="rIdiok4yomy0ur_3lv_esn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территориальное подразделение уполномоченного государственного органа по защите детей по месту жительства недееспособных лиц осуществляет надзор за деятельностью их опекунов и попечителей.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указанного </w:t>
      </w:r>
      <w:hyperlink w:history="1" r:id="rIdftkik_y_r6redooubcy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опекун или попечитель назначается судом по заключению территориального подразделения уполномоченного государственного органа по защите детей по месту жительства лица, нуждающегося в опеке или попечительстве.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опекуна или попечителя может быть обжаловано заинтересованными лицами в судебном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Опекунами и попечителями могут назначаться только совершеннолетние дееспособные граждане. При этом должны учитываться его нравственные и иные личные качества, способность к выполнению обязанностей опекуна или попечителя, отношения, существующие между ним и лицом, нуждающимся в опеке или попечительстве, а если это возможно - и желание подопечного.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Опекуны и попечители обязаны защищать права и интересы своих подопечных.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72</w:t>
      </w:r>
      <w:r>
        <w:rPr>
          <w:rFonts w:ascii="Arial" w:cs="Arial" w:eastAsia="Arial" w:hAnsi="Arial"/>
          <w:sz w:val="24"/>
          <w:szCs w:val="24"/>
        </w:rPr>
        <w:t xml:space="preserve"> вышеуказанного </w:t>
      </w:r>
      <w:hyperlink w:history="1" r:id="rIddg5rskfneudmogdvece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определено, что доходы подопечного гражданина, в том числе доходы, причитающиеся подопечному от управления его имуществом, за исключением доходов, которыми подопечный вправе распоряжаться самостоятельно, расходуются опекуном или попечителем исключительно в интересах подопечного и с предварительного разрешения территориального подразделения уполномоченного государственного органа по защите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Опекун не вправе без предварительного разрешения территориального подразделения уполномоченного государственного органа по защите детей совершать, а попечитель - давать согласие на совершение сделок по отчуждению, в том числе обмену или дарению имущества подопечного, сдаче его внаем (в аренду), в безвозмездное пользование или в залог, сделок, влекущих отказ от принадлежащих подопечному прав, раздел его имущества или выдел из него долей, а также любых других сделок, влекущих уменьшение имущества подопечного.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</w:t>
      </w:r>
      <w:r>
        <w:rPr>
          <w:rFonts w:ascii="Arial" w:cs="Arial" w:eastAsia="Arial" w:hAnsi="Arial"/>
          <w:sz w:val="24"/>
          <w:szCs w:val="24"/>
        </w:rPr>
        <w:t xml:space="preserve">статья 74</w:t>
      </w:r>
      <w:r>
        <w:rPr>
          <w:rFonts w:ascii="Arial" w:cs="Arial" w:eastAsia="Arial" w:hAnsi="Arial"/>
          <w:sz w:val="24"/>
          <w:szCs w:val="24"/>
        </w:rPr>
        <w:t xml:space="preserve"> обозначенного </w:t>
      </w:r>
      <w:hyperlink w:history="1" r:id="rId10knndsgzgqndykdgog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определяет, что в случаях ненадлежащего выполнения опекуном или попечителем лежащих на нем обязанностей, в том числе при использовании им опеки или попечительства в корыстных целях или при оставлении подопечного без надзора и необходимой помощи, суд может отстранить опекуна или попечителя от исполнения этих обязанностей и привлечь виновного к установленной законом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этого, </w:t>
      </w:r>
      <w:r>
        <w:rPr>
          <w:rFonts w:ascii="Arial" w:cs="Arial" w:eastAsia="Arial" w:hAnsi="Arial"/>
          <w:sz w:val="24"/>
          <w:szCs w:val="24"/>
        </w:rPr>
        <w:t xml:space="preserve">статья 222</w:t>
      </w:r>
      <w:r>
        <w:rPr>
          <w:rFonts w:ascii="Arial" w:cs="Arial" w:eastAsia="Arial" w:hAnsi="Arial"/>
          <w:sz w:val="24"/>
          <w:szCs w:val="24"/>
        </w:rPr>
        <w:t xml:space="preserve"> Уголовного </w:t>
      </w:r>
      <w:hyperlink w:history="1" r:id="rIdxkylkhfpy1phsutbvsl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устанавливает ответственность в отношении частных нотариусов, за использование частным нотариусом своих полномочий вопреки задачам своей деятельности и в целях извлечения выгод и преимуществ для себя или других лиц либо нанесения вреда другим лицам, если это деяние причинило вред правам и законным интересам заведомо несовершеннолетнего или недееспособного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отмечаем, что гражданское законодательство предусматривает возможность восстановления дееспособности на основании заявлений опекунов, попечителей и территориального подразделения уполномоченного государственного органа по защите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законодательство не предусматривает наличие различных степеней недееспособности, а также возможности изменения характера недееспособности с течением времени. Меры защиты связаны с полным лишением гражданской дееспособности и без ограничения по срокам. Международная практика предусматривает, что меры реализации правоспособности должны быть соразмерны способностям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в целях защиты прав недееспособных лиц, предлагаем проработать дополнительные механизмы в части установления недееспособности и восстановления дееспособности указанных лиц, с учетом международного опыта.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отмечаем, что согласно </w:t>
      </w:r>
      <w:r>
        <w:rPr>
          <w:rFonts w:ascii="Arial" w:cs="Arial" w:eastAsia="Arial" w:hAnsi="Arial"/>
          <w:sz w:val="24"/>
          <w:szCs w:val="24"/>
        </w:rPr>
        <w:t xml:space="preserve">статье 189</w:t>
      </w:r>
      <w:r>
        <w:rPr>
          <w:rFonts w:ascii="Arial" w:cs="Arial" w:eastAsia="Arial" w:hAnsi="Arial"/>
          <w:sz w:val="24"/>
          <w:szCs w:val="24"/>
        </w:rPr>
        <w:t xml:space="preserve"> указанного Гражданского </w:t>
      </w:r>
      <w:hyperlink w:history="1" r:id="rId5p-_r_lmv2-67to-e1z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ничтожна сделка, совершенная гражданином, признанным недееспособным вследствие психического расстройства.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 интересах гражданина, признанного недееспособным вследствие психического расстройства, совершенная им сделка может быть по требованию его опекуна признана судом действительной, если она совершена к выгоде этого гражданина.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Частью 2 статьи 5 проекта Закона Правительству Кыргызской Республики дается поручение привести свои нормативные правовые акты в соответствие с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j4pao5hjhhyoankcyy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в случаях, если для применения нормативного правового акта необходимо внесение изменений и дополнений в другие нормативные правовые акты, к вносимому проекту нормативного правового акта должны быть приложены проекты нормативных правовых актов с указанными изменениями и дополнениями.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информация о нормативных правовых актах, подлежащих пересмотру в случае принятия рассматриваемого проекта Закона, не отражена в справке-обосновании к проекту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если по итогам анализа будет выявлена необходимость разработки проектов нормативных правовых актов Правительства Кыргызской Республики, потребуется увеличить срок вступления проекта Закона в силу, в целях недопущения возникновения правового вакуума между законами и подзаконными актами.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по итогам анализа не будут выявлены нормативные правовые акты, подлежащие пересмотру, в связи с принятием проекта Закона часть 2 статьи 5 проекта Закона необходимо будет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1 проекта Закона следует привести в соответствие с пунктами 42 и 101 </w:t>
      </w:r>
      <w:hyperlink w:history="1" r:id="rId-ydlgoudde814bjuu6a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sxfrxsdsxpzlkgsjxis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возможным принятие проекта Закона, с учетом замечаний и предложений, изложенных в настоящем заключении.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xbg6ptmcigizrrcyc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dalil.kg/document/13493</w:t>
      </w:r>
    </w:hyperlink>
  </w:p>
  <w:p>
    <w:pPr>
      <w:spacing w:after="0" w:before="40"/>
      <w:jc w:val="center"/>
    </w:pPr>
    <w:hyperlink w:history="1" r:id="rIdkt1modvxmh-h-hb4mz1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n0q1fdgxupfx2zjodhc" Type="http://schemas.openxmlformats.org/officeDocument/2006/relationships/hyperlink" Target="https://dalil.kg/document/203685" TargetMode="External"/><Relationship Id="rIditpcvjcvk8f0hxngd4xdp" Type="http://schemas.openxmlformats.org/officeDocument/2006/relationships/hyperlink" Target="https://dalil.kg/document/13493#p1" TargetMode="External"/><Relationship Id="rId5yak0p1sdipn3l0v_fxqi" Type="http://schemas.openxmlformats.org/officeDocument/2006/relationships/hyperlink" Target="https://dalil.kg/document/4" TargetMode="External"/><Relationship Id="rIditpalil7zxg-kidbko_ic" Type="http://schemas.openxmlformats.org/officeDocument/2006/relationships/hyperlink" Target="https://dalil.kg/document/5" TargetMode="External"/><Relationship Id="rIdwvsveh0bp-qjssel8yjzb" Type="http://schemas.openxmlformats.org/officeDocument/2006/relationships/hyperlink" Target="https://dalil.kg/document/160" TargetMode="External"/><Relationship Id="rIdmlewgrd5iv6j4zoqfl6rs" Type="http://schemas.openxmlformats.org/officeDocument/2006/relationships/hyperlink" Target="https://dalil.kg/document/203685" TargetMode="External"/><Relationship Id="rIdoftswq3ttkyxid6vemgas" Type="http://schemas.openxmlformats.org/officeDocument/2006/relationships/hyperlink" Target="https://dalil.kg/document/4" TargetMode="External"/><Relationship Id="rId9dhwyyofs2j00kcerblhc" Type="http://schemas.openxmlformats.org/officeDocument/2006/relationships/hyperlink" Target="https://dalil.kg/document/5" TargetMode="External"/><Relationship Id="rId_eck-s7aiixggap_8urxh" Type="http://schemas.openxmlformats.org/officeDocument/2006/relationships/hyperlink" Target="https://dalil.kg/document/160" TargetMode="External"/><Relationship Id="rIdt9jqyerwm2j1bbufq3dob" Type="http://schemas.openxmlformats.org/officeDocument/2006/relationships/hyperlink" Target="https://dalil.kg/document/4" TargetMode="External"/><Relationship Id="rIdnddftmzkv0fa7xcdqux3u" Type="http://schemas.openxmlformats.org/officeDocument/2006/relationships/hyperlink" Target="https://dalil.kg/document/160" TargetMode="External"/><Relationship Id="rId3gq3kvqhbioztecnz5ivq" Type="http://schemas.openxmlformats.org/officeDocument/2006/relationships/hyperlink" Target="https://dalil.kg/document/4" TargetMode="External"/><Relationship Id="rId3cuhpuv9ux0-b67ugxnqe" Type="http://schemas.openxmlformats.org/officeDocument/2006/relationships/hyperlink" Target="https://dalil.kg/document/4" TargetMode="External"/><Relationship Id="rIdiok4yomy0ur_3lv_esnfp" Type="http://schemas.openxmlformats.org/officeDocument/2006/relationships/hyperlink" Target="https://dalil.kg/document/4" TargetMode="External"/><Relationship Id="rIdftkik_y_r6redooubcyag" Type="http://schemas.openxmlformats.org/officeDocument/2006/relationships/hyperlink" Target="https://dalil.kg/document/4" TargetMode="External"/><Relationship Id="rIddg5rskfneudmogdveceea" Type="http://schemas.openxmlformats.org/officeDocument/2006/relationships/hyperlink" Target="https://dalil.kg/document/4" TargetMode="External"/><Relationship Id="rId10knndsgzgqndykdgogba" Type="http://schemas.openxmlformats.org/officeDocument/2006/relationships/hyperlink" Target="https://dalil.kg/document/4" TargetMode="External"/><Relationship Id="rIdxkylkhfpy1phsutbvslxi" Type="http://schemas.openxmlformats.org/officeDocument/2006/relationships/hyperlink" Target="https://dalil.kg/document/111527" TargetMode="External"/><Relationship Id="rId5p-_r_lmv2-67to-e1z0x" Type="http://schemas.openxmlformats.org/officeDocument/2006/relationships/hyperlink" Target="https://dalil.kg/document/4" TargetMode="External"/><Relationship Id="rIdij4pao5hjhhyoankcyybk" Type="http://schemas.openxmlformats.org/officeDocument/2006/relationships/hyperlink" Target="https://dalil.kg/document/202591" TargetMode="External"/><Relationship Id="rId-ydlgoudde814bjuu6ahv" Type="http://schemas.openxmlformats.org/officeDocument/2006/relationships/hyperlink" Target="https://dalil.kg/document/76490" TargetMode="External"/><Relationship Id="rIdsxfrxsdsxpzlkgsjxis8r" Type="http://schemas.openxmlformats.org/officeDocument/2006/relationships/hyperlink" Target="https://dalil.kg/document/76491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xbg6ptmcigizrrcyczo" Type="http://schemas.openxmlformats.org/officeDocument/2006/relationships/hyperlink" Target="https://dalil.kg/document/13493" TargetMode="External"/><Relationship Id="rIdkt1modvxmh-h-hb4mz1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2026-10-01T22:21:23.592Z</dcterms:created>
  <dcterms:modified xsi:type="dcterms:W3CDTF">2026-10-01T22:21:23.592Z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