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e0woa22sogq_yaxvtx2-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айылного кенеша Курама от “1” апреля 2026 года № 24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7mbmsriammietwiskabt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айылного кенеша Курама</w:t>
      </w:r>
      <w:r>
        <w:rPr>
          <w:rFonts w:ascii="Arial" w:cs="Arial" w:eastAsia="Arial" w:hAnsi="Arial"/>
          <w:sz w:val="24"/>
          <w:szCs w:val="24"/>
        </w:rPr>
        <w:t xml:space="preserve">от 17 мая 2021 года №1а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РЕГЛАМЕНТ АЙЫЛНОГО КЕНЕША КУРАМА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"О местном самоуправлении", "О статусе депутатов местных кенешей", "О нормативных правовых актах Кыргызской Республики"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ОСНОВЫ ДЕЯТЕЛЬНОСТИ АЙЫЛНОГО КЕНЕША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Айылный кенеш Курама (далее – айылный кенеш) - выборный представительный орган местного самоуправления, осуществляющий свою деятельность на коллегиальной основе, состоящий из 21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Закона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утверждение Положения об айылном кенеше;</w:t>
      </w:r>
    </w:p>
    <w:p>
      <w:pPr>
        <w:spacing w:after="120"/>
        <w:jc w:val="both"/>
      </w:pPr>
      <w:r>
        <w:rPr>
          <w:rFonts w:ascii="Arial" w:cs="Arial" w:eastAsia="Arial" w:hAnsi="Arial"/>
          <w:sz w:val="24"/>
          <w:szCs w:val="24"/>
        </w:rPr>
        <w:t xml:space="preserve">2) утверждение ежегодного плана работы айылного кенеша;</w:t>
      </w:r>
    </w:p>
    <w:p>
      <w:pPr>
        <w:spacing w:after="120"/>
        <w:jc w:val="both"/>
      </w:pPr>
      <w:r>
        <w:rPr>
          <w:rFonts w:ascii="Arial" w:cs="Arial" w:eastAsia="Arial" w:hAnsi="Arial"/>
          <w:sz w:val="24"/>
          <w:szCs w:val="24"/>
        </w:rPr>
        <w:t xml:space="preserve">3) создание и упразднение постоянных (временных) комиссий айылного кенеша, утверждение персонального состава постоянных (временных) комиссий и внесение изменений в их состав;</w:t>
      </w:r>
    </w:p>
    <w:p>
      <w:pPr>
        <w:spacing w:after="120"/>
        <w:jc w:val="both"/>
      </w:pPr>
      <w:r>
        <w:rPr>
          <w:rFonts w:ascii="Arial" w:cs="Arial" w:eastAsia="Arial" w:hAnsi="Arial"/>
          <w:sz w:val="24"/>
          <w:szCs w:val="24"/>
        </w:rPr>
        <w:t xml:space="preserve">4) заслушивание отчета о деятельности постоянных (временных) комиссий;</w:t>
      </w:r>
    </w:p>
    <w:p>
      <w:pPr>
        <w:spacing w:after="120"/>
        <w:jc w:val="both"/>
      </w:pPr>
      <w:r>
        <w:rPr>
          <w:rFonts w:ascii="Arial" w:cs="Arial" w:eastAsia="Arial" w:hAnsi="Arial"/>
          <w:sz w:val="24"/>
          <w:szCs w:val="24"/>
        </w:rPr>
        <w:t xml:space="preserve">5) внесение предложения к главе айыл окмоту об освобождении заместителя главы айыл окмоту в соответствии с частью 5 статьи 51 Закона Кыргызской Республики «О местном самоуправлении»;</w:t>
      </w:r>
    </w:p>
    <w:p>
      <w:pPr>
        <w:spacing w:after="120"/>
        <w:jc w:val="both"/>
      </w:pPr>
      <w:r>
        <w:rPr>
          <w:rFonts w:ascii="Arial" w:cs="Arial" w:eastAsia="Arial" w:hAnsi="Arial"/>
          <w:sz w:val="24"/>
          <w:szCs w:val="24"/>
        </w:rPr>
        <w:t xml:space="preserve">6) рассмотрение вопроса о даче согласия большинством голосов от общего числа депутатов на досрочное освобождение главы айыл окмоту акимом за невыполнение или ненадлежащее исполнение законов, нормативных правовых актов Президента и Правительства, или делегированных государственных полномочий, установленное органами прокуратуры в соответствии с пунктом 2 частью 7 статьи 49 Закона Кыргызской Республики «О местном самоуправлении»;</w:t>
      </w:r>
    </w:p>
    <w:p>
      <w:pPr>
        <w:spacing w:after="120"/>
        <w:jc w:val="both"/>
      </w:pPr>
      <w:r>
        <w:rPr>
          <w:rFonts w:ascii="Arial" w:cs="Arial" w:eastAsia="Arial" w:hAnsi="Arial"/>
          <w:sz w:val="24"/>
          <w:szCs w:val="24"/>
        </w:rPr>
        <w:t xml:space="preserve">7) рассмотрение вопроса о даче согласия большинством голосов от общего числа депутатов на назначение и освобождение руководителя финансово-экономического подразделения аппарата айыл окмоту в соответствии со статьей 15 Закона Кыргызской Республики «О финансово-экономических основах местного самоуправления»;</w:t>
      </w:r>
    </w:p>
    <w:p>
      <w:pPr>
        <w:spacing w:after="120"/>
        <w:jc w:val="both"/>
      </w:pPr>
      <w:r>
        <w:rPr>
          <w:rFonts w:ascii="Arial" w:cs="Arial" w:eastAsia="Arial" w:hAnsi="Arial"/>
          <w:sz w:val="24"/>
          <w:szCs w:val="24"/>
        </w:rPr>
        <w:t xml:space="preserve">8) утверждение правил благоустройства, торговли, размещения наружной рекламы и информации на территории айылного аймака;</w:t>
      </w:r>
    </w:p>
    <w:p>
      <w:pPr>
        <w:spacing w:after="120"/>
        <w:jc w:val="both"/>
      </w:pPr>
      <w:r>
        <w:rPr>
          <w:rFonts w:ascii="Arial" w:cs="Arial" w:eastAsia="Arial" w:hAnsi="Arial"/>
          <w:sz w:val="24"/>
          <w:szCs w:val="24"/>
        </w:rPr>
        <w:t xml:space="preserve">9) организация работы по сотрудничеству и обмену опытом с другими местными кенешами;</w:t>
      </w:r>
    </w:p>
    <w:p>
      <w:pPr>
        <w:spacing w:after="120"/>
        <w:jc w:val="both"/>
      </w:pPr>
      <w:r>
        <w:rPr>
          <w:rFonts w:ascii="Arial" w:cs="Arial" w:eastAsia="Arial" w:hAnsi="Arial"/>
          <w:sz w:val="24"/>
          <w:szCs w:val="24"/>
        </w:rPr>
        <w:t xml:space="preserve">10) утверждение плана мероприятий по сохранению и развитию исторических и культурных традиций местного сообщества, развитию муниципальных учреждений культуры;</w:t>
      </w:r>
    </w:p>
    <w:p>
      <w:pPr>
        <w:spacing w:after="120"/>
        <w:jc w:val="both"/>
      </w:pPr>
      <w:r>
        <w:rPr>
          <w:rFonts w:ascii="Arial" w:cs="Arial" w:eastAsia="Arial" w:hAnsi="Arial"/>
          <w:sz w:val="24"/>
          <w:szCs w:val="24"/>
        </w:rPr>
        <w:t xml:space="preserve">11) утверждение плана мероприятий по охране окружающей среды и контролю над санитарной очисткой, соблюдением чистоты и порядка на территориях сел айылного аймака;</w:t>
      </w:r>
    </w:p>
    <w:p>
      <w:pPr>
        <w:spacing w:after="120"/>
        <w:jc w:val="both"/>
      </w:pPr>
      <w:r>
        <w:rPr>
          <w:rFonts w:ascii="Arial" w:cs="Arial" w:eastAsia="Arial" w:hAnsi="Arial"/>
          <w:sz w:val="24"/>
          <w:szCs w:val="24"/>
        </w:rPr>
        <w:t xml:space="preserve">12) утверждение условий договора с государственным органом и органами местного самоуправления в случае делегирования им государственных полномочий на основании договора, а также принятие решений о прекращении или приостановлении договора о делегировании государственных полномочий в порядке и случаях установленных договором и законодательством Кыргызской Республики;</w:t>
      </w:r>
    </w:p>
    <w:p>
      <w:pPr>
        <w:spacing w:after="120"/>
        <w:jc w:val="both"/>
      </w:pPr>
      <w:r>
        <w:rPr>
          <w:rFonts w:ascii="Arial" w:cs="Arial" w:eastAsia="Arial" w:hAnsi="Arial"/>
          <w:sz w:val="24"/>
          <w:szCs w:val="24"/>
        </w:rPr>
        <w:t xml:space="preserve">13) утверждение ежегодного плана мероприятий по предоставлению отчетов депутатов айылного кенеша своим избирателям, выполнению наказов избирателей и другие мероприятия по работе с избирателями;</w:t>
      </w:r>
    </w:p>
    <w:p>
      <w:pPr>
        <w:spacing w:after="120"/>
        <w:jc w:val="both"/>
      </w:pPr>
      <w:r>
        <w:rPr>
          <w:rFonts w:ascii="Arial" w:cs="Arial" w:eastAsia="Arial" w:hAnsi="Arial"/>
          <w:sz w:val="24"/>
          <w:szCs w:val="24"/>
        </w:rPr>
        <w:t xml:space="preserve">14) утверждение ежегодного плана мероприятий айыл окмоту по проведению сельских сходов, общественных слушаний, курултаев по вопросам местного значения;</w:t>
      </w:r>
    </w:p>
    <w:p>
      <w:pPr>
        <w:spacing w:after="120"/>
        <w:jc w:val="both"/>
      </w:pPr>
      <w:r>
        <w:rPr>
          <w:rFonts w:ascii="Arial" w:cs="Arial" w:eastAsia="Arial" w:hAnsi="Arial"/>
          <w:sz w:val="24"/>
          <w:szCs w:val="24"/>
        </w:rPr>
        <w:t xml:space="preserve">15) дача согласия на предоставление объектов муниципальной собственности в ипотеку или залог;</w:t>
      </w:r>
    </w:p>
    <w:p>
      <w:pPr>
        <w:spacing w:after="120"/>
        <w:jc w:val="both"/>
      </w:pPr>
      <w:r>
        <w:rPr>
          <w:rFonts w:ascii="Arial" w:cs="Arial" w:eastAsia="Arial" w:hAnsi="Arial"/>
          <w:sz w:val="24"/>
          <w:szCs w:val="24"/>
        </w:rPr>
        <w:t xml:space="preserve">16) утверждение порядка ведения Реестра объектов муниципальной собственности;</w:t>
      </w:r>
    </w:p>
    <w:p>
      <w:pPr>
        <w:spacing w:after="120"/>
        <w:jc w:val="both"/>
      </w:pPr>
      <w:r>
        <w:rPr>
          <w:rFonts w:ascii="Arial" w:cs="Arial" w:eastAsia="Arial" w:hAnsi="Arial"/>
          <w:sz w:val="24"/>
          <w:szCs w:val="24"/>
        </w:rPr>
        <w:t xml:space="preserve">17) установление порядка списания муниципальной собственности;</w:t>
      </w:r>
    </w:p>
    <w:p>
      <w:pPr>
        <w:spacing w:after="120"/>
        <w:jc w:val="both"/>
      </w:pPr>
      <w:r>
        <w:rPr>
          <w:rFonts w:ascii="Arial" w:cs="Arial" w:eastAsia="Arial" w:hAnsi="Arial"/>
          <w:sz w:val="24"/>
          <w:szCs w:val="24"/>
        </w:rPr>
        <w:t xml:space="preserve">18) утверждение ежегодного плана сообществ по использованию пастбищными угодьями, отчеты по их исполнению, а также размера платы за право пользование пастбищными угодьями;</w:t>
      </w:r>
    </w:p>
    <w:p>
      <w:pPr>
        <w:spacing w:after="120"/>
        <w:jc w:val="both"/>
      </w:pPr>
      <w:r>
        <w:rPr>
          <w:rFonts w:ascii="Arial" w:cs="Arial" w:eastAsia="Arial" w:hAnsi="Arial"/>
          <w:sz w:val="24"/>
          <w:szCs w:val="24"/>
        </w:rPr>
        <w:t xml:space="preserve">19) контроль за исполнением положений Устава местного сообщества и решений принятых айылным кенешем;</w:t>
      </w:r>
    </w:p>
    <w:p>
      <w:pPr>
        <w:spacing w:after="120"/>
        <w:jc w:val="both"/>
      </w:pPr>
      <w:r>
        <w:rPr>
          <w:rFonts w:ascii="Arial" w:cs="Arial" w:eastAsia="Arial" w:hAnsi="Arial"/>
          <w:sz w:val="24"/>
          <w:szCs w:val="24"/>
        </w:rPr>
        <w:t xml:space="preserve">20) утверждение порядка привлечения на общественных началах активных граждан, инициативных групп, жамаатов, общественных объединений, молодежи, бизнес сообщества и других заинтересованных лиц, для осуществления совместной деятельности с органами местного самоуправления (айылным кенешем и айыл окмоту) по выявлению приоритетных проблем села и совместного их решения;</w:t>
      </w:r>
    </w:p>
    <w:p>
      <w:pPr>
        <w:spacing w:after="120"/>
        <w:jc w:val="both"/>
      </w:pPr>
      <w:r>
        <w:rPr>
          <w:rFonts w:ascii="Arial" w:cs="Arial" w:eastAsia="Arial" w:hAnsi="Arial"/>
          <w:sz w:val="24"/>
          <w:szCs w:val="24"/>
        </w:rPr>
        <w:t xml:space="preserve">21) утверждение методики проведения оценки услуг, местных инициатив/проектов/программ, реализуемых за счет средств местного бюджета, вклада местного сообщества, донорских организаций, а также положения о группе совместного мониторинга и оценки, ее состава и принятие соответствующих мер на основе рекомендаций данной группы;</w:t>
      </w:r>
    </w:p>
    <w:p>
      <w:pPr>
        <w:spacing w:after="120"/>
        <w:jc w:val="both"/>
      </w:pPr>
      <w:r>
        <w:rPr>
          <w:rFonts w:ascii="Arial" w:cs="Arial" w:eastAsia="Arial" w:hAnsi="Arial"/>
          <w:sz w:val="24"/>
          <w:szCs w:val="24"/>
        </w:rPr>
        <w:t xml:space="preserve">22) проведение общественных слушаний, в том числе поручение главе айыл окмоту организовать и провести общественные слушания для широкого обсуждения вопроса и учета общественного мнения по вопросам, относящимся к их ведению;</w:t>
      </w:r>
    </w:p>
    <w:p>
      <w:pPr>
        <w:spacing w:after="120"/>
        <w:jc w:val="both"/>
      </w:pPr>
      <w:r>
        <w:rPr>
          <w:rFonts w:ascii="Arial" w:cs="Arial" w:eastAsia="Arial" w:hAnsi="Arial"/>
          <w:sz w:val="24"/>
          <w:szCs w:val="24"/>
        </w:rPr>
        <w:t xml:space="preserve">23) утверждение порядка привлечения депутатами местного кенеша на общественных началах общественных помощников для оказания содействия депутатам в осуществлении ими своих полномочий;</w:t>
      </w:r>
    </w:p>
    <w:p>
      <w:pPr>
        <w:spacing w:after="120"/>
        <w:jc w:val="both"/>
      </w:pPr>
      <w:r>
        <w:rPr>
          <w:rFonts w:ascii="Arial" w:cs="Arial" w:eastAsia="Arial" w:hAnsi="Arial"/>
          <w:sz w:val="24"/>
          <w:szCs w:val="24"/>
        </w:rPr>
        <w:t xml:space="preserve">решение других вопросов в соответствии с законодательством Кыргызской Республики и Уставом местного сообщества.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4.5.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10 минут, для ответов на вопросы - до 5 минут, для выступления с заключительным словом - до 5 минут.</w:t>
      </w:r>
    </w:p>
    <w:p>
      <w:pPr>
        <w:spacing w:after="120"/>
        <w:jc w:val="both"/>
      </w:pPr>
      <w:r>
        <w:rPr>
          <w:rFonts w:ascii="Arial" w:cs="Arial" w:eastAsia="Arial" w:hAnsi="Arial"/>
          <w:sz w:val="24"/>
          <w:szCs w:val="24"/>
        </w:rPr>
        <w:t xml:space="preserve">4.6. Депутатам желающим выступить в поддержку или против кандидата на должность председателя айылного кенеша предоставляется время для выступления до 5 минут.</w:t>
      </w:r>
    </w:p>
    <w:p>
      <w:pPr>
        <w:spacing w:after="120"/>
        <w:jc w:val="both"/>
      </w:pPr>
      <w:r>
        <w:rPr>
          <w:rFonts w:ascii="Arial" w:cs="Arial" w:eastAsia="Arial" w:hAnsi="Arial"/>
          <w:sz w:val="24"/>
          <w:szCs w:val="24"/>
        </w:rPr>
        <w:t xml:space="preserve">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4.11.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Полномочия председателя айылного кенеша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6.5.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Досрочное прекращение полномочий председателя айылного кенеша и </w:t>
      </w:r>
    </w:p>
    <w:p>
      <w:pPr>
        <w:spacing w:after="240" w:before="200"/>
        <w:jc w:val="center"/>
      </w:pPr>
      <w:r>
        <w:rPr>
          <w:rFonts w:ascii="Arial" w:cs="Arial" w:eastAsia="Arial" w:hAnsi="Arial"/>
          <w:b/>
          <w:bCs/>
          <w:sz w:val="32"/>
          <w:szCs w:val="32"/>
        </w:rPr>
        <w:t xml:space="preserve">заместителя председателя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Секретарь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Функции секретаря айылного кенеша исполняет ответственный секретарь айыл окмоту.</w:t>
      </w:r>
    </w:p>
    <w:p>
      <w:pPr>
        <w:spacing w:after="120"/>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          </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jc w:val="both"/>
      </w:pPr>
      <w:r>
        <w:rPr>
          <w:rFonts w:ascii="Arial" w:cs="Arial" w:eastAsia="Arial" w:hAnsi="Arial"/>
          <w:sz w:val="24"/>
          <w:szCs w:val="24"/>
        </w:rPr>
        <w:t xml:space="preserve">8.4. В соответствии с поручением председателя айылного кенеша по согласованию с главой айыл окмоту функции ответственного секретаря айыл окмоту по оказанию содействия в работе постоянных (временных) комиссий могут быть возложены на работников аппарата айыл окмоту.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Постоянные комиссии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9.4. Численный состав каждой постоянной комиссии не может быть: менее 4 и более 7 депутатов айылного кенеша.</w:t>
      </w:r>
    </w:p>
    <w:p>
      <w:pPr>
        <w:spacing w:after="120"/>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9.6. Депутат айылного кенеша может быть членом только одной постоянной комиссии </w:t>
      </w:r>
      <w:r>
        <w:rPr>
          <w:rFonts w:ascii="Arial" w:cs="Arial" w:eastAsia="Arial" w:hAnsi="Arial"/>
          <w:i/>
          <w:iCs/>
          <w:sz w:val="24"/>
          <w:szCs w:val="24"/>
        </w:rPr>
        <w:t xml:space="preserve">(В исключительных случаях айылные кенеши в составе 11 депутатов могут принять решение о праве депутата быть членом в двух постоянных комиссиях)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i/>
          <w:iCs/>
          <w:sz w:val="24"/>
          <w:szCs w:val="24"/>
        </w:rPr>
        <w:t xml:space="preserve">(В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jc w:val="both"/>
      </w:pPr>
      <w:r>
        <w:rPr>
          <w:rFonts w:ascii="Arial" w:cs="Arial" w:eastAsia="Arial" w:hAnsi="Arial"/>
          <w:i/>
          <w:iCs/>
          <w:sz w:val="24"/>
          <w:szCs w:val="24"/>
        </w:rPr>
        <w:t xml:space="preserve">- по регламенту, депутатской этике и мандату;</w:t>
      </w:r>
    </w:p>
    <w:p>
      <w:pPr>
        <w:spacing w:after="120"/>
        <w:jc w:val="both"/>
      </w:pPr>
      <w:r>
        <w:rPr>
          <w:rFonts w:ascii="Arial" w:cs="Arial" w:eastAsia="Arial" w:hAnsi="Arial"/>
          <w:i/>
          <w:iCs/>
          <w:sz w:val="24"/>
          <w:szCs w:val="24"/>
        </w:rPr>
        <w:t xml:space="preserve">- по развитию местного самоуправления, связям со средствами массовой информации, общественными организациями и местным сообществом;</w:t>
      </w:r>
    </w:p>
    <w:p>
      <w:pPr>
        <w:spacing w:after="120"/>
        <w:jc w:val="both"/>
      </w:pPr>
      <w:r>
        <w:rPr>
          <w:rFonts w:ascii="Arial" w:cs="Arial" w:eastAsia="Arial" w:hAnsi="Arial"/>
          <w:i/>
          <w:iCs/>
          <w:sz w:val="24"/>
          <w:szCs w:val="24"/>
        </w:rPr>
        <w:t xml:space="preserve">- по бюджету, экономике, муниципальной собственности, сельскому хозяйству, инвестициям, предпринимательской деятельности и внешнеэкономическим связям;</w:t>
      </w:r>
    </w:p>
    <w:p>
      <w:pPr>
        <w:spacing w:after="120"/>
        <w:jc w:val="both"/>
      </w:pPr>
      <w:r>
        <w:rPr>
          <w:rFonts w:ascii="Arial" w:cs="Arial" w:eastAsia="Arial" w:hAnsi="Arial"/>
          <w:i/>
          <w:iCs/>
          <w:sz w:val="24"/>
          <w:szCs w:val="24"/>
        </w:rPr>
        <w:t xml:space="preserve">- по соблюдению законности, правопорядка, защите прав и интересов граждан, по архитектуре, строительству, транспорту и экологии;</w:t>
      </w:r>
    </w:p>
    <w:p>
      <w:pPr>
        <w:spacing w:after="120"/>
        <w:jc w:val="both"/>
      </w:pPr>
      <w:r>
        <w:rPr>
          <w:rFonts w:ascii="Arial" w:cs="Arial" w:eastAsia="Arial" w:hAnsi="Arial"/>
          <w:i/>
          <w:iCs/>
          <w:sz w:val="24"/>
          <w:szCs w:val="24"/>
        </w:rPr>
        <w:t xml:space="preserve">- по делам молодежи, спорту, культуре и социальным вопросам.).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10.2.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Заседания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Члены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14.2.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Временные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15.3.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15.8.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ОРГАНИЗАЦИЯ РАБОТЫ АЙЫЛНОГО КЕНЕША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Порядок подготовки и проведения сессии айылного кенеша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16.2. Сессия айылного кенеша правомочна при присутствии не менее половины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jc w:val="both"/>
      </w:pPr>
      <w:r>
        <w:rPr>
          <w:rFonts w:ascii="Arial" w:cs="Arial" w:eastAsia="Arial" w:hAnsi="Arial"/>
          <w:sz w:val="24"/>
          <w:szCs w:val="24"/>
        </w:rPr>
        <w:t xml:space="preserve">16.3. В случае отсутствия кворума в течение 15 минут с начала регистрации депутатов председательствующий объявляет перерыв на 15 минут. Если в течение 15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w:t>
      </w:r>
    </w:p>
    <w:p>
      <w:pPr>
        <w:spacing w:after="120"/>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Внеочередные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17.4. Внеочередные сессии созываются не позднее, чем в 5 календарных дней со дня поступления предложения.</w:t>
      </w:r>
    </w:p>
    <w:p>
      <w:pPr>
        <w:spacing w:after="120"/>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w:t>
      </w:r>
    </w:p>
    <w:p>
      <w:pPr>
        <w:spacing w:after="120"/>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w:t>
      </w:r>
    </w:p>
    <w:p>
      <w:pPr>
        <w:spacing w:after="120"/>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17.8. Проект повестки дня и материалы, необходимые для рассмотрения вопросов внеочередной сессии, раздаются депутатам и приглашаемым лицам до 3 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Повестка дня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10 дней до проведения заседания и за 5 дня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Председательствующий на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19.2. Председательствующий на сессии имеет право:</w:t>
      </w:r>
    </w:p>
    <w:p>
      <w:pPr>
        <w:spacing w:after="120"/>
        <w:jc w:val="both"/>
      </w:pPr>
      <w:r>
        <w:rPr>
          <w:rFonts w:ascii="Arial" w:cs="Arial" w:eastAsia="Arial" w:hAnsi="Arial"/>
          <w:sz w:val="24"/>
          <w:szCs w:val="24"/>
        </w:rPr>
        <w:t xml:space="preserve">- ввести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19.3.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240" w:before="200"/>
        <w:jc w:val="center"/>
      </w:pPr>
      <w:r>
        <w:rPr>
          <w:rFonts w:ascii="Arial" w:cs="Arial" w:eastAsia="Arial" w:hAnsi="Arial"/>
          <w:b/>
          <w:bCs/>
          <w:sz w:val="32"/>
          <w:szCs w:val="32"/>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20.2.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Дисциплина и этика депутата и лиц, присутствующих</w:t>
      </w:r>
    </w:p>
    <w:p>
      <w:pPr>
        <w:spacing w:after="240" w:before="200"/>
        <w:jc w:val="center"/>
      </w:pPr>
      <w:r>
        <w:rPr>
          <w:rFonts w:ascii="Arial" w:cs="Arial" w:eastAsia="Arial" w:hAnsi="Arial"/>
          <w:b/>
          <w:bCs/>
          <w:sz w:val="32"/>
          <w:szCs w:val="32"/>
        </w:rPr>
        <w:t xml:space="preserve">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22.2.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ПРОЦЕДУРЫ ОБСУЖДЕНИЯ И ПРИНЯТИЯ
  АЙЫЛНЫМ КЕНЕШЕМ РЕШЕНИЙ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Виды выступлений и их продолжительность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10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1 минут;</w:t>
      </w:r>
    </w:p>
    <w:p>
      <w:pPr>
        <w:spacing w:after="120"/>
        <w:jc w:val="both"/>
      </w:pPr>
      <w:r>
        <w:rPr>
          <w:rFonts w:ascii="Arial" w:cs="Arial" w:eastAsia="Arial" w:hAnsi="Arial"/>
          <w:sz w:val="24"/>
          <w:szCs w:val="24"/>
        </w:rPr>
        <w:t xml:space="preserve">- для выступления по порядку ведения заседания - до 1 минут;</w:t>
      </w:r>
    </w:p>
    <w:p>
      <w:pPr>
        <w:spacing w:after="120"/>
        <w:jc w:val="both"/>
      </w:pPr>
      <w:r>
        <w:rPr>
          <w:rFonts w:ascii="Arial" w:cs="Arial" w:eastAsia="Arial" w:hAnsi="Arial"/>
          <w:sz w:val="24"/>
          <w:szCs w:val="24"/>
        </w:rPr>
        <w:t xml:space="preserve">- для предложений, справок, заявлений, обращений - до 2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5 минут.</w:t>
      </w:r>
    </w:p>
    <w:p>
      <w:pPr>
        <w:spacing w:after="120"/>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120"/>
        <w:jc w:val="both"/>
      </w:pPr>
      <w:r>
        <w:rPr>
          <w:rFonts w:ascii="Arial" w:cs="Arial" w:eastAsia="Arial" w:hAnsi="Arial"/>
          <w:i/>
          <w:iCs/>
          <w:sz w:val="24"/>
          <w:szCs w:val="24"/>
        </w:rPr>
        <w:t xml:space="preserve">(Следует учесть, что время выступлений и перерывов могут быть установлены депутатами каждого айылного кенеша по своему усмотрению!).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Прения (обсуждения)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 Кворум для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jc w:val="both"/>
      </w:pPr>
      <w:r>
        <w:rPr>
          <w:rFonts w:ascii="Arial" w:cs="Arial" w:eastAsia="Arial" w:hAnsi="Arial"/>
          <w:sz w:val="24"/>
          <w:szCs w:val="24"/>
        </w:rPr>
        <w:t xml:space="preserve">27.2. Большинством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27.3. Двумя третями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27.4. Большинством голосов от числа присутствующих депутатов на сессии принимаются решения по процедурным вопросам.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 Голосования и его виды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21;</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 Открытое и тайное голосование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w:t>
      </w:r>
      <w:r>
        <w:rPr>
          <w:rFonts w:ascii="Arial" w:cs="Arial" w:eastAsia="Arial" w:hAnsi="Arial"/>
          <w:b/>
          <w:bCs/>
          <w:sz w:val="24"/>
          <w:szCs w:val="24"/>
        </w:rPr>
        <w:t xml:space="preserve">Открытое голосование</w:t>
      </w:r>
      <w:r>
        <w:rPr>
          <w:rFonts w:ascii="Arial" w:cs="Arial" w:eastAsia="Arial" w:hAnsi="Arial"/>
          <w:sz w:val="24"/>
          <w:szCs w:val="24"/>
        </w:rPr>
        <w:t xml:space="preserve">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29.5. </w:t>
      </w:r>
      <w:r>
        <w:rPr>
          <w:rFonts w:ascii="Arial" w:cs="Arial" w:eastAsia="Arial" w:hAnsi="Arial"/>
          <w:b/>
          <w:bCs/>
          <w:sz w:val="24"/>
          <w:szCs w:val="24"/>
        </w:rPr>
        <w:t xml:space="preserve">Тайное голосование</w:t>
      </w:r>
      <w:r>
        <w:rPr>
          <w:rFonts w:ascii="Arial" w:cs="Arial" w:eastAsia="Arial" w:hAnsi="Arial"/>
          <w:sz w:val="24"/>
          <w:szCs w:val="24"/>
        </w:rPr>
        <w:t xml:space="preserve">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 Деятельность счетной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jc w:val="both"/>
      </w:pPr>
      <w:r>
        <w:rPr>
          <w:rFonts w:ascii="Arial" w:cs="Arial" w:eastAsia="Arial" w:hAnsi="Arial"/>
          <w:sz w:val="24"/>
          <w:szCs w:val="24"/>
        </w:rPr>
        <w:t xml:space="preserve">32.3.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НОРМОТВОРЧЕСКАЯ ДЕЯТЕЛЬНОСТЬ АЙЫЛНОГО КЕНЕША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 Общие принципы нормотворческой деятельности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 окмоту,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справку-обоснование (информация) к проекту постановления;</w:t>
      </w:r>
    </w:p>
    <w:p>
      <w:pPr>
        <w:spacing w:after="120"/>
        <w:jc w:val="both"/>
      </w:pPr>
      <w:r>
        <w:rPr>
          <w:rFonts w:ascii="Arial" w:cs="Arial" w:eastAsia="Arial" w:hAnsi="Arial"/>
          <w:sz w:val="24"/>
          <w:szCs w:val="24"/>
        </w:rPr>
        <w:t xml:space="preserve">- сравнительную таблицу (в случае внесения изменений и (или) дополнений в действующее постановление);</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 ПОРЯДОК РЕАЛИЗАЦИИ ОТДЕЛЬНЫХ ПОЛНОМОЧИЙ </w:t>
      </w:r>
      <w:r>
        <w:rPr>
          <w:rFonts w:ascii="Arial" w:cs="Arial" w:eastAsia="Arial" w:hAnsi="Arial"/>
          <w:b/>
          <w:bCs/>
          <w:sz w:val="24"/>
          <w:szCs w:val="24"/>
        </w:rPr>
        <w:t xml:space="preserve">АЙЫЛНОГО КЕНЕША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 Порядок внесения и утверждения местного бюджета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комиссию. Контроль за соблюдением Регламента во время сессии айылного кенеша возлагается на председательствующего сессии.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wzorbb80-plmfb2mpfzq">
      <w:r>
        <w:rPr>
          <w:rFonts w:ascii="Arial" w:cs="Arial" w:eastAsia="Arial" w:hAnsi="Arial"/>
          <w:color w:val="132D3F"/>
          <w:sz w:val="16"/>
          <w:szCs w:val="16"/>
          <w:u w:val="single"/>
        </w:rPr>
        <w:t xml:space="preserve">dalil.kg/document/135106</w:t>
      </w:r>
    </w:hyperlink>
  </w:p>
  <w:p>
    <w:pPr>
      <w:spacing w:after="0" w:before="40"/>
      <w:jc w:val="center"/>
    </w:pPr>
    <w:hyperlink w:history="1" r:id="rIdlvmxmxqf4ouwkj0fq18v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0woa22sogq_yaxvtx2-4" Type="http://schemas.openxmlformats.org/officeDocument/2006/relationships/hyperlink" Target="https://dalil.kg/document/230046775" TargetMode="External"/><Relationship Id="rId7mbmsriammietwiskabtt" Type="http://schemas.openxmlformats.org/officeDocument/2006/relationships/hyperlink" Target="https://dalil.kg/document/1351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wzorbb80-plmfb2mpfzq" Type="http://schemas.openxmlformats.org/officeDocument/2006/relationships/hyperlink" Target="https://dalil.kg/document/135106" TargetMode="External"/><Relationship Id="rIdlvmxmxqf4ouwkj0fq18v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2026-09-29T17:59:46.660Z</dcterms:created>
  <dcterms:modified xsi:type="dcterms:W3CDTF">2026-09-29T17:59:46.660Z</dcterms:modified>
</cp:coreProperties>
</file>

<file path=docProps/custom.xml><?xml version="1.0" encoding="utf-8"?>
<Properties xmlns="http://schemas.openxmlformats.org/officeDocument/2006/custom-properties" xmlns:vt="http://schemas.openxmlformats.org/officeDocument/2006/docPropsVTypes"/>
</file>