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2iqblcywri0yy4u6ps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декабря 2023 года № 675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c0qzdjfxvjeqc1mnhw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апреля 2019 года № 161)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оформления и применения счетов-фактур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определяет процедуры оформления и применения счетов-фактур в виде электронного документа участниками пилотного проекта по применению счета-фактуры в виде электронного документа в добровольном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порядке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"налогоплательщик"</w:t>
      </w:r>
      <w:r>
        <w:rPr>
          <w:rFonts w:ascii="Arial" w:cs="Arial" w:eastAsia="Arial" w:hAnsi="Arial"/>
          <w:sz w:val="24"/>
          <w:szCs w:val="24"/>
        </w:rPr>
        <w:t xml:space="preserve"> - субъект, принимающий участие в пилотном проекте по применению счета-фактуры в виде электронного документа,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"счет-фактура"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"виртуальный склад"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позволяющая осуществлять учет товаров 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"информационная система счетов-фактур в виде электронного документа"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и контроля уполномоченного налогового органа (далее - ИС ЭСФ).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Временном порядке, трактуются в значении, определенном настоящим Временным порядком. В случае отсутствия трактовки терминов и определений в настоящем Временном порядке, термины и определения трактуются в значении, определенном соответствующим законодательством Кыргызской Республики и/или нормативными правовыми актами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счет-фактура в виде электронного документа (далее -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счет-фактура на бумажном носителе (далее - ЭСФ на бумажном носителе).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оформлению счета-фактуры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счете-фактуре стоимостные показатели, включая цену товара, работы, услуги, а также суммы налогов, указываются в национальной валюте Кыргызской Республики - в сомах и тыйынах.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(поставки) товара на экспорт, в счете-фактуре стоимостные показатели (цена, стоимость и общая стоимость товара) указываются одновременно в национальной и иностранной валютах согласно заключенному договору (контракту):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первой строке -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второй строке - в иностранной валюте, с указанием официального курса валюты Национального банка Кыргызской Республики на день оформления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счета-фактуры производится один раз, в конце месяца, на основе накопленной месячной учетной документации в соответствии с налоговой политикой, утвержденной налогоплательщиком: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предусмотренных статьей 156-1 Налогового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безвозмездной реализации (поставке) товаров, работ и/или услуг населению в ходе рекламных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оказании платных услуг населению через банки/или ведении расчетов через электронный терминал и банкоматы.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ЭСФ кроме обязательных реквизитов, установленных настоящим Временным порядком, может содержать дополнительную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поставки товара, включенного в Перечень маркируемых товаров и/или товаров, подлежащих прослеживаемости в рамках ЕАЭС, утвержденный решением ЕЭК, налогоплательщиком может быть оформлен отдельный счет-фактура.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ЭСФ в ИС ЭСФ оформляется импортером товаров, по товарам, содержащимся в виртуальном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Счет-фактура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как налогоплательщика налога на добавленную стоимость (далее - НДС).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заполнения формы счета-фактуры в виде электронного документа по товарам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3.1. Заполнение раздела 1 "Реквизиты поставщика и покупателя"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Ячейки 102 и 103 заполняются в автоматическом режиме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Ячейка 101 "Статус" заполняется ИС ЭСФ автоматически и может содержать одну из следующих записей: оформлен (подтвержден/не подтвержден), аннулирован (отозван/отклонен), корректировочный.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201 указывается идентификационный номер налогоплательщика (далее - ИНН) - поставщика товара, то есть организации или индивидуального предпринимателя (далее - ИП).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202 указываются следующие реквизиты поставщика: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поставщиком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ИП, если поставщиком является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ячейка должна быть заполнена,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ячейках 203 и 204 указываются ИНН и наименование филиала поставщика,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головная организация должна представить в налоговый орган по месту регистрации копию распоряжения о возложении полномочий по оформлению ЭСФ на руководителя филиала, а также справку с образцами печатей и подписей руководителя филиала или иных уполномоченных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товара осуществляется самим поставщиком,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205 указывается юридический адрес или фактическое местонахождение поставщика товара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206 указываются код и наименование налогового органа по месту налоговой регистрации поставщика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207 указываются банковский идентификационный код (далее - БИК), наименование банка, где поставщик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поставщик не имеет счета в банке, то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208 указывается номер счета поставщика в банке. Данная ячейка не заполняется, если в ячейке 207 произведена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209 указывается дата вступления в силу регистрации поставщика товара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поставщик товара не зарегистрирован как налогоплательщик НДС, данная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301 указывается ИНН покупателя товара, то есть организации, ИП или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покупателя-нерезидента Кыргызской Республики отсутствует ИНН,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302 указываются следующие реквизиты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покупателем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 либо физического лица, если покупателем является ИП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ячейка должна быть заполнена,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ячейках 303 и 304 указываются ИНН и наименование филиала покупателя,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товара осуществляется в адрес самого покупателя,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305 указывается юридический адрес или фактическое местонахождение покупателя товара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нерезидент Кыргызской Республики, то дополнительно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306 указываются код и наименование налогового органа по месту налоговой регистрации покупателя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ИП, осуществляющий деятельность на основе патента, то указываются код и наименование налогового органа, выдавшего данный патент, а также номер и серия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покупателя - физического лица налоговой регистрации, в ячейке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ЭСФ оформляется покупателю-нерезиденту Кыргызской Республики, то в ячейке 306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307 указываются банковский идентификационный код (далее - БИК), наименование банка, где покупатель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ЭСФ оформляется покупателю, не имеющему счета в банке, то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308 указывается номер счета в банке. Данная ячейка не заполняется, если в ячейке 307 произведена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309 указывается дата вступления в силу регистрации покупателя товара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покупатель товара не зарегистрирован как налогоплательщик НДС или является нерезидентом Кыргызской Республики, данная ячейка не заполняется.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3.2. Заполнение раздела 2 "Реквизиты грузоотправителя и грузополучателя"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Ячейки 250-252 заполняются в случае если грузоотправителем является иная организация или ИП (далее - грузоотправитель) согласно условиям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ячейке 250 указывается ИНН грузоотправителя.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грузоотправителя-нерезидента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грузоотправителя-нерезидента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грузоотправителя-нерезидента Кыргызской Республики отсутствует ИНН,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ячейке 251 указываются следующие реквизиты грузоотправителя: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грузоотправителем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ИП, если грузоотправителем является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ячейке 252 указывается место нахождения грузоотправителя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грузоотправителем является нерезидент Кыргызской Республики, дополнительно указывается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Ячейки 350-352 заполняются в случае, если грузополучателем является иная организация или ИП (далее - грузополучатель) согласно условиям договора (контракта).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ячейке 350 указывается ИНН грузополучателя.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грузополучателя-нерезидента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грузополучателя-нерезидента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грузополучателя-нерезидента Кыргызской Республики отсутствует ИНН,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ячейке 351 указываются следующие реквизиты грузополучателя: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грузополучателем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имя, фамилия и отчество ИП либо физического лица, если грузополучателем является ИП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ячейке 352 указывается место нахождения грузополучателя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грузополучателем является нерезидент Кыргызской Республики, дополнительно указывается наименование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3.3. Заполнение раздела 3 "Информация о реализации"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ячейке 401 указывается дата реализации (поставки) товара согласно договору (контракту).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ячейке 402 указывается вид реализации (поставки)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ячейке 403 указывается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безналичная: банковский платеж,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безвозмездная.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ячейке 404 указываются дата и номер, при его наличии, договора (контракта), на основании которого осуществляется данная реализация (поставка)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ячейке 405 указывается способ отправки реализуемого (поставляемого)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воздушным;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ячейке 406 указывается пункт назначения товара: наименование населенного пункта, улицы, номер дома, офиса, квартиры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экспорта товара, дополнительно указываются код и наименование страны, в которую доставляется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Ячейки 407 и 408 заполняются в случае оформления корректировочного ЭСФ для проведения корректировки стоимости поставки при изменении условий сделки, то есть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 или частичном возврате товара, за исключением ввоза товара в соответствии с таможенной процедурой реимпорта, вывезенного ранее в соответствии с таможенной процедурой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изменении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отказе от выполненных работ и/или оказанных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возврате оплаты за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оформлении ЭСФ, в случае, указанном в пункте 43 настоящего Временного порядка, в обязательном порядке должны быть указаны номер и дата оформления ЭСФ, к которому оформляется корректировочный ЭСФ, а также причины корректировки.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3.4. Заполнение раздела 4 "Информация о товаре"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разделе 4 ЭСФ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"№ п/п" - порядковый номер строки;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"Код товара (ТН ВЭД)" - без пробелов код товарной позиции в соответствии с Товарной номенклатурой внешнеэкономической деятельности Евразийского экономического союза (далее - ТН ВЭД) на уровне группировки, с количеством знаков не менее десяти. В случае отсутствия кода товарной позиции в ТН ВЭД, указывается десять раз цифра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"Наименование товара" - наименование поставляемого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"Единица измерения" - единица измерения товара. Единица измерения указывается согласно ТН ВЭД. В случае отсутствия в ТН ВЭД данного показателя, указывается цифра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"Цена за единицу" - цена за единицу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"Количество (объем)" - количество или объем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"Стоимость товара без НДС и НсП" - стоимость товара без учета НДС и налога с продаж (далее - НсП);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подграфах "Ставка", "Сумма" графы "НДС" - размер ставки и суммы НДС, соответственно. Итоговая сумма по подграфе "Сумма" заполняется, если товар подлежит налогообложению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подграфах "Ставка", "Сумма" графы "НсП" - размер ставки НсП и суммы НсП, соответственно. Итоговая сумма по подграфе "Сумма" заполняется, если товар подлежит налогообложению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графе "Общая стоимость товара" - общая стоимость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скидок, предусмотренных статьей 120 Налогового кодекса Кыргызской Республики, сумма скидки со знаком минус указывается отдельной строкой до подведения итоговых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осуществления реализации (поставок) товаров, освобожденных или необлагаемых НДС и/или налогом с продаж, в подграфе "Ставка" указываются цифры "99", а в подграфе "Сумма" граф "НДС" и "НсП"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графе "Реквизиты таможенной декларации или заявления о ввозе товаров и уплате косвенных налогов (FORM STI-136) или ЭСФ"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либо регистрационный номер таможенной декларации, согласно которой осуществлен выпуск в свободное обращение товара, импортированного из стран, не являющихся государствами-членами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либо регистрационный номер заявления о ввозе товара и уплате косвенных налогов (FORM STI-136), присвоенный налоговым органом в случае если товар импортирован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либо номер ЭСФ, согласно которому товар был приобретен налогоплательщиком, осуществляющим оборот товара, включенного в Перечень товаров, подлежащих прослеживаемости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строки в таможенной декларации или заявлении о ввозе товаров и уплате косвенных налогов (FORM STI-136), в которой указан ввезенный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ЭСФ должен быть подписан квалифицированной электронной подписью согласно требованиям налогового законодательства, а также законодательства об электронной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и/или бухгалтером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индивидуальным предпринимателем или его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ячейке 450 указываются фамилия, имя и отчество руководителя организации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ячейке 451 указываются фамилия, имя и отчество бухгалтера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заполнения формы счета-фактуры в виде электронного документа по работам и/или услугам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Заполнение раздела 1 "Реквизиты поставщика и покупателя"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Ячейки 102 и 103 заполняются в автоматическом режиме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Ячейка 101 "Статус" заполняется ИС ЭСФ автоматически и может содержать одну из следующих записей: оформлен (подтвержден), отозван, отклонен, аннулирован, корректировочный.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ячейке 201 указывается идентификационный номер налогоплательщика (далее - ИНН) - поставщика работы и/или услуги, то есть организации или индивидуального предпринимателя (далее - ИП).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ячейке 202 указывается полное наименование организации в соответствии с учредительными документами или фамилия, имя и отчество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ячейках 203 и 204 указываются ИНН и наименование филиала поставщика,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работы и/или услуги осуществляется самим поставщиком,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ячейке 205 указывается юридический адрес или фактическое местонахождение поставщика работы и/или услуги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206 указываются код и наименование налогового органа по месту налоговой регистрации поставщика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ячейке 207 указываются банковский идентификационный код (далее - БИК), наименование банка, где поставщик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поставщик не имеет счета в банке,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ячейке 208 указывается номер счета поставщика в банке. Данная ячейка не заполняется, если в ячейке 207 произведена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ячейке 209 указывается дата вступления в силу регистрации поставщика работы и/или услуги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поставщик работы и/или услуги не зарегистрирован как налогоплательщик НДС, то данная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ячейке 301 указывается ИНН покупателя работы и/или услуги, то есть организации, ИП или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покупателя-нерезидента Кыргызской Республики отсутствует ИНН,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ячейке 302 указываются следующие реквизиты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покупателем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 либо физического лица, если покупателем является ИП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ячейках 303 и 304 указываются ИНН и наименование филиала покупателя,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работы и/или услуги осуществляется в адрес самого покупателя,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ячейке 305 указывается юридический адрес или фактическое местонахождение покупателя работы и/или услуги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нерезидент Кыргызской Республики, дополнительно указывается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ячейке 306 указываются код и наименование налогового органа по месту налоговой регистрации покупателя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ИП, осуществляющий деятельность на основе патента, указываются код и наименование налогового органа, выдавшего данный патент, а также номер и серия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покупателя - физического лица налоговой регистрации, в ячейке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ЭСФ оформляется покупателю-нерезиденту Кыргызской Республики, то в ячейке 306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ячейке 307 указываются банковский идентификационный код (далее - БИК), наименование банка, где покупатель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ЭСФ оформлен покупателю, не имеющему счета в банке,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ячейке 308 указывается номер счета в банке. Данная ячейка не заполняется, если в ячейке 307 произведена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ячейке 309 указывается дата вступления в силу регистрации покупателя работы и/или услуги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покупатель работы и/или услуги не зарегистрирован как налогоплательщик НДС или является нерезидентом Кыргызской Республики, данная ячейка не заполняется.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Заполнение раздела 2 "Информация о реализации"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ячейке 401 указывается дата реализации (поставки) работы и/или услуги согласно договору (контракту).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ячейке 402 указывается вид реализации (поставки) работы и/или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ячейке 403 указывается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безналичная: банковский платеж,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безвозмездная.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ячейке 404 указываются дата и номер, при его наличии, договора (контракта), на основании которого осуществляется данная реализация (поставка)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Ячейки 405 и 406 заполняются в случае оформления корректировочного ЭСФ для проведения корректировки стоимости поставки при изменении условий сделки, то есть стоимости работ и/или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оформлении ЭСФ в случае, указанном в пункте 71 настоящего Временного порядка, в обязательном порядке должны быть указаны номер и дата оформления ЭСФ, к которому оформляется корректировочный ЭСФ, а также причины корректировки.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4.3. Заполнение раздела 3 "Информация о работе и/или услуге"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разделе 3 ЭСФ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"Код работы и/или услуги" - код работы или услуги на уровне четырех знаков. В случае отсутствия кода, указывается четыре раза цифра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"Наименование работы и/или услуги" - наименование работы и/или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"Стоимость работы и/или услуги без НДС и НсП" - стоимость работы и/или услуги без учета НДС и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подграфах "Ставка", "Сумма" графы "НДС" - размер ставки и суммы НДС, соответственно. Итоговая сумма по подграфе "Сумма" заполняется, если работа и/или услуга подлежит налогообложению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подграфах "Ставка", "Сумма" графы "НсП" - размер ставки и суммы НсП, соответственно. Итоговая сумма по подграфе "Сумма" заполняется, если работа и/или услуга подлежит налогообложению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"Общая стоимость работы и/или услуги" - общая стоимость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случае осуществления реализации (поставок) работ и/или услуг, освобожденных или необлагаемых НДС и/или налогом с продаж, в подграфе "Ставка" указываются цифры "99", а в подграфе "Сумма" граф "НДС" и "НсП"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Коды работ и услуг устанавливаются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ЭСФ должен быть подписан квалифицированной электронной подписью согласно требованиям налогового законодательства, а также законодательства об электронной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и/или бухгалтером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индивидуальным предпринимателем или его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ячейке 450 указываются фамилия, имя и отчество руководителя организации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ячейке 451 указываются фамилия, имя и отчество бухгалтера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заполнения формы счета-фактуры на бумажном носителе по товарам, а также работам и/или услугам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ячейке 101 указывается номер счета-фактуры на бумажном носителе (далее - ЭСФ на бумажном носителе), выданный налоговым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ячейке 102 указывается дата оформления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Остальные разделы ЭСФ на бумажном носителе заполняются в соответствии с главами 3 и 4 настоящего Временного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ЭСФ на бумажном носителе должен быть обязательно подписан: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и бухгалтером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индивидуальным предпринимателем или его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ЭСФ на бумажном носителе в обязательном порядке заверяется печатью организации, индивидуального предпринимателя - при ее наличии.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2mbx3_me3q6ieprf3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dalil.kg/document/13546</w:t>
      </w:r>
    </w:hyperlink>
  </w:p>
  <w:p>
    <w:pPr>
      <w:spacing w:after="0" w:before="40"/>
      <w:jc w:val="center"/>
    </w:pPr>
    <w:hyperlink w:history="1" r:id="rId1_r8magxoed5yu4ky7l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iqblcywri0yy4u6ps3p" Type="http://schemas.openxmlformats.org/officeDocument/2006/relationships/hyperlink" Target="https://dalil.kg/document/230000286" TargetMode="External"/><Relationship Id="rIddc0qzdjfxvjeqc1mnhwyt" Type="http://schemas.openxmlformats.org/officeDocument/2006/relationships/hyperlink" Target="https://dalil.kg/document/13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2mbx3_me3q6ieprf3kv" Type="http://schemas.openxmlformats.org/officeDocument/2006/relationships/hyperlink" Target="https://dalil.kg/document/13546" TargetMode="External"/><Relationship Id="rId1_r8magxoed5yu4ky7l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2026-09-23T23:01:44.758Z</dcterms:created>
  <dcterms:modified xsi:type="dcterms:W3CDTF">2026-09-23T23:01:44.758Z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