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18 апреля 2019 года № 183</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Порядка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от 20 мая 2015 года № 304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совершенствования порядка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xrgiveu_nkvc6ejbevhm5">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f-d_iizg-qxhswidrlto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pbeo-zjfzbckqk-wryyf">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от 20 мая 2015 года № 304 следующие изменения:</w:t>
      </w:r>
    </w:p>
    <w:p>
      <w:pPr>
        <w:spacing w:after="60"/>
        <w:ind w:firstLine="567"/>
        <w:jc w:val="both"/>
      </w:pPr>
      <w:r>
        <w:rPr>
          <w:rFonts w:ascii="Arial" w:cs="Arial" w:eastAsia="Arial" w:hAnsi="Arial"/>
          <w:sz w:val="24"/>
          <w:szCs w:val="24"/>
        </w:rPr>
        <w:t xml:space="preserve">в </w:t>
      </w:r>
      <w:hyperlink w:history="1" r:id="rIdxr5qih6te38m4fp-bawq1">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утвержденном вышеуказанным </w:t>
      </w:r>
      <w:hyperlink w:history="1" r:id="rId6yq80szyad2kfivkabq6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дополнить абзацем вторым следующего содержания:</w:t>
      </w:r>
    </w:p>
    <w:p>
      <w:pPr>
        <w:spacing w:after="60"/>
        <w:ind w:firstLine="567"/>
        <w:jc w:val="both"/>
      </w:pPr>
      <w:r>
        <w:rPr>
          <w:rFonts w:ascii="Arial" w:cs="Arial" w:eastAsia="Arial" w:hAnsi="Arial"/>
          <w:sz w:val="24"/>
          <w:szCs w:val="24"/>
        </w:rPr>
        <w:t xml:space="preserve">"В настоящем </w:t>
      </w:r>
      <w:hyperlink w:history="1" r:id="rIdkjylxhkfphqq0wgmlv7u0">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используются понятия, определенные </w:t>
      </w:r>
      <w:hyperlink w:history="1" r:id="rIdwqqzqdafigpfre1gywghc">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конкуренции".";</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Формирование и ведение Реестра осуществляются антимонопольным органом путем включения в него либо исключения из него хозяйствующего субъекта, внесения изменений в Реестр, в случае изменения наименования хозяйствующего субъекта и формы его собственности, изменения юридического адреса и наименования товара.";</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Реестр и внесение изменений в Реестр подлежат опубликованию на официальном сайте антимонопольного органа в течение 10 дней со дня принятия решения антимонопольного органа.";</w:t>
      </w:r>
    </w:p>
    <w:p>
      <w:pPr>
        <w:spacing w:after="60"/>
        <w:ind w:firstLine="567"/>
        <w:jc w:val="both"/>
      </w:pPr>
      <w:r>
        <w:rPr>
          <w:rFonts w:ascii="Arial" w:cs="Arial" w:eastAsia="Arial" w:hAnsi="Arial"/>
          <w:sz w:val="24"/>
          <w:szCs w:val="24"/>
        </w:rPr>
        <w:t xml:space="preserve">- в пунктах 6, 7, 13 и 15 слова "и дополнений" исключить;</w:t>
      </w:r>
    </w:p>
    <w:p>
      <w:pPr>
        <w:spacing w:after="60"/>
        <w:ind w:firstLine="567"/>
        <w:jc w:val="both"/>
      </w:pPr>
      <w:r>
        <w:rPr>
          <w:rFonts w:ascii="Arial" w:cs="Arial" w:eastAsia="Arial" w:hAnsi="Arial"/>
          <w:sz w:val="24"/>
          <w:szCs w:val="24"/>
        </w:rPr>
        <w:t xml:space="preserve">- в абзаце втором пункта 9 слова "с указанием группы лиц, в которую они входят" заменить словами "как группа лиц";</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Вопрос об исключении хозяйствующего субъекта (группы лиц) из Реестра рассматривается антимонопольным органом при наличии следующих оснований:</w:t>
      </w:r>
    </w:p>
    <w:p>
      <w:pPr>
        <w:spacing w:after="60"/>
        <w:ind w:firstLine="567"/>
        <w:jc w:val="both"/>
      </w:pPr>
      <w:r>
        <w:rPr>
          <w:rFonts w:ascii="Arial" w:cs="Arial" w:eastAsia="Arial" w:hAnsi="Arial"/>
          <w:sz w:val="24"/>
          <w:szCs w:val="24"/>
        </w:rPr>
        <w:t xml:space="preserve">- уменьшение доли хозяйствующего субъекта (группы лиц) на рынке определенного товара по результатам анализа товарного рынка, при этом уменьшение доли хозяйствующего субъекта (группы лиц) на рынке определенного товара не должно носить краткосрочного характера (не менее 1 года), в том числе обусловленного сезонными особенностями;</w:t>
      </w:r>
    </w:p>
    <w:p>
      <w:pPr>
        <w:spacing w:after="60"/>
        <w:ind w:firstLine="567"/>
        <w:jc w:val="both"/>
      </w:pPr>
      <w:r>
        <w:rPr>
          <w:rFonts w:ascii="Arial" w:cs="Arial" w:eastAsia="Arial" w:hAnsi="Arial"/>
          <w:sz w:val="24"/>
          <w:szCs w:val="24"/>
        </w:rPr>
        <w:t xml:space="preserve">- реорганизация и/или ликвидация хозяйствующего субъекта, осуществляющего деятельность в форме юридического лица, либо прекращение деятельности хозяйствующего субъекта, осуществляющего деятельность в качестве индивидуального предпринимателя;</w:t>
      </w:r>
    </w:p>
    <w:p>
      <w:pPr>
        <w:spacing w:after="60"/>
        <w:ind w:firstLine="567"/>
        <w:jc w:val="both"/>
      </w:pPr>
      <w:r>
        <w:rPr>
          <w:rFonts w:ascii="Arial" w:cs="Arial" w:eastAsia="Arial" w:hAnsi="Arial"/>
          <w:sz w:val="24"/>
          <w:szCs w:val="24"/>
        </w:rPr>
        <w:t xml:space="preserve">- при поступлении мотивированного ходатайства хозяйствующего субъекта (группы лиц) об исключении его из Реестра, с приложением фактических данных, необходимых для принятия такого решения (информация об объеме рынка, расчет доли хозяйствующего субъекта на рынке, количество конкурентов на рынке, информация об основных показателях деятельности предприятия, динамика изменения цен).";</w:t>
      </w:r>
    </w:p>
    <w:p>
      <w:pPr>
        <w:spacing w:after="60"/>
        <w:ind w:firstLine="567"/>
        <w:jc w:val="both"/>
      </w:pPr>
      <w:r>
        <w:rPr>
          <w:rFonts w:ascii="Arial" w:cs="Arial" w:eastAsia="Arial" w:hAnsi="Arial"/>
          <w:sz w:val="24"/>
          <w:szCs w:val="24"/>
        </w:rPr>
        <w:t xml:space="preserve">- пункт 16 изложить в следующей редакции:</w:t>
      </w:r>
    </w:p>
    <w:p>
      <w:pPr>
        <w:spacing w:after="60"/>
        <w:ind w:firstLine="567"/>
        <w:jc w:val="both"/>
      </w:pPr>
      <w:r>
        <w:rPr>
          <w:rFonts w:ascii="Arial" w:cs="Arial" w:eastAsia="Arial" w:hAnsi="Arial"/>
          <w:sz w:val="24"/>
          <w:szCs w:val="24"/>
        </w:rPr>
        <w:t xml:space="preserve">"16. В случае несогласия хозяйствующего субъекта (группы лиц) с решением антимонопольного органа, решение может быть обжаловано в соответствии с законодательством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kis_p_upcdr-z0pauftg">
      <w:r>
        <w:rPr>
          <w:rFonts w:ascii="Arial" w:cs="Arial" w:eastAsia="Arial" w:hAnsi="Arial"/>
          <w:color w:val="132D3F"/>
          <w:sz w:val="16"/>
          <w:szCs w:val="16"/>
          <w:u w:val="single"/>
        </w:rPr>
        <w:t xml:space="preserve">dalil.kg/document/13592</w:t>
      </w:r>
    </w:hyperlink>
  </w:p>
  <w:p>
    <w:pPr>
      <w:spacing w:after="0" w:before="40"/>
      <w:jc w:val="center"/>
    </w:pPr>
    <w:hyperlink w:history="1" r:id="rIdcc3huonw5kflhk5qj2o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giveu_nkvc6ejbevhm5" Type="http://schemas.openxmlformats.org/officeDocument/2006/relationships/hyperlink" Target="https://dalil.kg/document/203685" TargetMode="External"/><Relationship Id="rIdf-d_iizg-qxhswidrlto9" Type="http://schemas.openxmlformats.org/officeDocument/2006/relationships/hyperlink" Target="https://dalil.kg/document/97557" TargetMode="External"/><Relationship Id="rIdtpbeo-zjfzbckqk-wryyf" Type="http://schemas.openxmlformats.org/officeDocument/2006/relationships/hyperlink" Target="https://dalil.kg/document/97557#p1" TargetMode="External"/><Relationship Id="rIdxr5qih6te38m4fp-bawq1" Type="http://schemas.openxmlformats.org/officeDocument/2006/relationships/hyperlink" Target="https://dalil.kg/document/97557#p1" TargetMode="External"/><Relationship Id="rId6yq80szyad2kfivkabq6n" Type="http://schemas.openxmlformats.org/officeDocument/2006/relationships/hyperlink" Target="https://dalil.kg/document/97557" TargetMode="External"/><Relationship Id="rIdkjylxhkfphqq0wgmlv7u0" Type="http://schemas.openxmlformats.org/officeDocument/2006/relationships/hyperlink" Target="https://dalil.kg/document/97557#p1" TargetMode="External"/><Relationship Id="rIdwqqzqdafigpfre1gywghc" Type="http://schemas.openxmlformats.org/officeDocument/2006/relationships/hyperlink" Target="https://dalil.kg/document/203356#st_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kis_p_upcdr-z0pauftg" Type="http://schemas.openxmlformats.org/officeDocument/2006/relationships/hyperlink" Target="https://dalil.kg/document/13592" TargetMode="External"/><Relationship Id="rIdcc3huonw5kflhk5qj2o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2026-09-24T23:45:16.489Z</dcterms:created>
  <dcterms:modified xsi:type="dcterms:W3CDTF">2026-09-24T23:45:16.489Z</dcterms:modified>
</cp:coreProperties>
</file>

<file path=docProps/custom.xml><?xml version="1.0" encoding="utf-8"?>
<Properties xmlns="http://schemas.openxmlformats.org/officeDocument/2006/custom-properties" xmlns:vt="http://schemas.openxmlformats.org/officeDocument/2006/docPropsVTypes"/>
</file>