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w:t>
      </w:r>
      <w:r>
        <w:rPr>
          <w:rFonts w:ascii="Arial" w:cs="Arial" w:eastAsia="Arial" w:hAnsi="Arial"/>
          <w:i/>
          <w:iCs/>
          <w:sz w:val="24"/>
          <w:szCs w:val="24"/>
        </w:rPr>
        <w:t xml:space="preserve">О</w:t>
      </w:r>
      <w:r>
        <w:rPr>
          <w:rFonts w:ascii="Arial" w:cs="Arial" w:eastAsia="Arial" w:hAnsi="Arial"/>
          <w:i/>
          <w:iCs/>
          <w:sz w:val="24"/>
          <w:szCs w:val="24"/>
        </w:rPr>
        <w:t xml:space="preserve"> СИЛУ</w:t>
      </w:r>
      <w:r>
        <w:rPr>
          <w:rFonts w:ascii="Arial" w:cs="Arial" w:eastAsia="Arial" w:hAnsi="Arial"/>
          <w:i/>
          <w:iCs/>
          <w:sz w:val="24"/>
          <w:szCs w:val="24"/>
        </w:rPr>
        <w:t xml:space="preserve">в соответствии с </w:t>
      </w:r>
      <w:hyperlink w:history="1" r:id="rIdlyhu99xkch5xyupsz0-2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Токмокского городского </w:t>
      </w:r>
      <w:r>
        <w:rPr>
          <w:rFonts w:ascii="Arial" w:cs="Arial" w:eastAsia="Arial" w:hAnsi="Arial"/>
          <w:i/>
          <w:iCs/>
          <w:sz w:val="24"/>
          <w:szCs w:val="24"/>
        </w:rPr>
        <w:t xml:space="preserve">кенеша </w:t>
      </w:r>
      <w:r>
        <w:rPr>
          <w:rFonts w:ascii="Arial" w:cs="Arial" w:eastAsia="Arial" w:hAnsi="Arial"/>
          <w:i/>
          <w:iCs/>
          <w:sz w:val="24"/>
          <w:szCs w:val="24"/>
        </w:rPr>
        <w:t xml:space="preserve">от </w:t>
      </w:r>
      <w:r>
        <w:rPr>
          <w:rFonts w:ascii="Arial" w:cs="Arial" w:eastAsia="Arial" w:hAnsi="Arial"/>
          <w:i/>
          <w:iCs/>
          <w:sz w:val="24"/>
          <w:szCs w:val="24"/>
        </w:rPr>
        <w:t xml:space="preserve">30 мая 2023 года № 129/23-5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Правила расчета стоимости арендной платы </w:t>
      </w:r>
      <w:r>
        <w:rPr>
          <w:rFonts w:ascii="Arial" w:cs="Arial" w:eastAsia="Arial" w:hAnsi="Arial"/>
          <w:b/>
          <w:bCs/>
          <w:sz w:val="24"/>
          <w:szCs w:val="24"/>
        </w:rPr>
        <w:t xml:space="preserve">за пользование муниципальными земельными участками по городу Токмок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предоставлении земельных участков в срочное (временное) пользование на условиях аренды расчет арендных платежей производится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Пб = С х П х Кэпз х Кэо х Кфн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708"/>
        <w:jc w:val="both"/>
      </w:pPr>
      <w:r>
        <w:rPr>
          <w:rFonts w:ascii="Arial" w:cs="Arial" w:eastAsia="Arial" w:hAnsi="Arial"/>
          <w:b/>
          <w:bCs/>
          <w:sz w:val="24"/>
          <w:szCs w:val="24"/>
        </w:rPr>
        <w:t xml:space="preserve">Пб - </w:t>
      </w:r>
      <w:r>
        <w:rPr>
          <w:rFonts w:ascii="Arial" w:cs="Arial" w:eastAsia="Arial" w:hAnsi="Arial"/>
          <w:sz w:val="24"/>
          <w:szCs w:val="24"/>
        </w:rPr>
        <w:t xml:space="preserve">размер базового арендного платежа (в сомах);</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 -</w:t>
      </w:r>
      <w:r>
        <w:rPr>
          <w:rFonts w:ascii="Arial" w:cs="Arial" w:eastAsia="Arial" w:hAnsi="Arial"/>
          <w:sz w:val="24"/>
          <w:szCs w:val="24"/>
        </w:rPr>
        <w:t xml:space="preserve"> ставка земельного налога, установленная Налоговым кодексом Кыргызской Республики для города Токмок;</w:t>
      </w:r>
    </w:p>
    <w:p>
      <w:pPr>
        <w:spacing w:after="120"/>
        <w:ind w:firstLine="708"/>
        <w:jc w:val="both"/>
      </w:pPr>
      <w:r>
        <w:rPr>
          <w:rFonts w:ascii="Arial" w:cs="Arial" w:eastAsia="Arial" w:hAnsi="Arial"/>
          <w:b/>
          <w:bCs/>
          <w:sz w:val="24"/>
          <w:szCs w:val="24"/>
        </w:rPr>
        <w:t xml:space="preserve">П -</w:t>
      </w:r>
      <w:r>
        <w:rPr>
          <w:rFonts w:ascii="Arial" w:cs="Arial" w:eastAsia="Arial" w:hAnsi="Arial"/>
          <w:sz w:val="24"/>
          <w:szCs w:val="24"/>
        </w:rPr>
        <w:t xml:space="preserve"> площадь земельного участка в квадратных метрах;</w:t>
      </w:r>
    </w:p>
    <w:p>
      <w:pPr>
        <w:spacing w:after="120"/>
        <w:ind w:firstLine="708"/>
        <w:jc w:val="both"/>
      </w:pPr>
      <w:r>
        <w:rPr>
          <w:rFonts w:ascii="Arial" w:cs="Arial" w:eastAsia="Arial" w:hAnsi="Arial"/>
          <w:b/>
          <w:bCs/>
          <w:sz w:val="24"/>
          <w:szCs w:val="24"/>
        </w:rPr>
        <w:t xml:space="preserve">Кэпз -</w:t>
      </w:r>
      <w:r>
        <w:rPr>
          <w:rFonts w:ascii="Arial" w:cs="Arial" w:eastAsia="Arial" w:hAnsi="Arial"/>
          <w:sz w:val="24"/>
          <w:szCs w:val="24"/>
        </w:rPr>
        <w:t xml:space="preserve"> коэффициент экономико-планировочной зоны;</w:t>
      </w:r>
    </w:p>
    <w:p>
      <w:pPr>
        <w:spacing w:after="120"/>
        <w:ind w:firstLine="708"/>
        <w:jc w:val="both"/>
      </w:pPr>
      <w:r>
        <w:rPr>
          <w:rFonts w:ascii="Arial" w:cs="Arial" w:eastAsia="Arial" w:hAnsi="Arial"/>
          <w:b/>
          <w:bCs/>
          <w:sz w:val="24"/>
          <w:szCs w:val="24"/>
        </w:rPr>
        <w:t xml:space="preserve">Кэо -</w:t>
      </w:r>
      <w:r>
        <w:rPr>
          <w:rFonts w:ascii="Arial" w:cs="Arial" w:eastAsia="Arial" w:hAnsi="Arial"/>
          <w:sz w:val="24"/>
          <w:szCs w:val="24"/>
        </w:rPr>
        <w:t xml:space="preserve"> коэффициент экологической оценки, установленный Налоговым Кодексом Кыргызской Республики);</w:t>
      </w:r>
    </w:p>
    <w:p>
      <w:pPr>
        <w:spacing w:after="120"/>
        <w:ind w:firstLine="708"/>
        <w:jc w:val="both"/>
      </w:pPr>
      <w:r>
        <w:rPr>
          <w:rFonts w:ascii="Arial" w:cs="Arial" w:eastAsia="Arial" w:hAnsi="Arial"/>
          <w:b/>
          <w:bCs/>
          <w:sz w:val="24"/>
          <w:szCs w:val="24"/>
        </w:rPr>
        <w:t xml:space="preserve">Кфн -</w:t>
      </w:r>
      <w:r>
        <w:rPr>
          <w:rFonts w:ascii="Arial" w:cs="Arial" w:eastAsia="Arial" w:hAnsi="Arial"/>
          <w:sz w:val="24"/>
          <w:szCs w:val="24"/>
        </w:rPr>
        <w:t xml:space="preserve"> коэффициент функционального назначения, установленный Налоговым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определении базового арендного платежа за земельный участок, предоставленный в срочное (временное) пользование на условиях аренды иностранным лицам, в том числе через конкурс </w:t>
      </w:r>
      <w:r>
        <w:rPr>
          <w:rFonts w:ascii="Arial" w:cs="Arial" w:eastAsia="Arial" w:hAnsi="Arial"/>
          <w:b/>
          <w:bCs/>
          <w:sz w:val="24"/>
          <w:szCs w:val="24"/>
        </w:rPr>
        <w:t xml:space="preserve">(Кил) -</w:t>
      </w:r>
      <w:r>
        <w:rPr>
          <w:rFonts w:ascii="Arial" w:cs="Arial" w:eastAsia="Arial" w:hAnsi="Arial"/>
          <w:sz w:val="24"/>
          <w:szCs w:val="24"/>
        </w:rPr>
        <w:t xml:space="preserve"> применяется коэффициент в размере, установленном постановлением Правительства Кыргызской Республики."</w:t>
      </w:r>
    </w:p>
    <w:p>
      <w:pPr>
        <w:spacing w:after="120"/>
        <w:ind w:firstLine="708"/>
        <w:jc w:val="both"/>
      </w:pPr>
      <w:r>
        <w:rPr>
          <w:rFonts w:ascii="Arial" w:cs="Arial" w:eastAsia="Arial" w:hAnsi="Arial"/>
          <w:b/>
          <w:bCs/>
          <w:sz w:val="24"/>
          <w:szCs w:val="24"/>
        </w:rPr>
        <w:t xml:space="preserve">Кил -</w:t>
      </w:r>
      <w:r>
        <w:rPr>
          <w:rFonts w:ascii="Arial" w:cs="Arial" w:eastAsia="Arial" w:hAnsi="Arial"/>
          <w:sz w:val="24"/>
          <w:szCs w:val="24"/>
        </w:rPr>
        <w:t xml:space="preserve"> коэффициент, применяемый при определении базового арендного платежа за земельный участок, предоставленный в срочное (временное) пользование на условиях аренды иностранным лицам, в том числе через конкурс.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Коэффициент экономико-планировочных зон города Токмок (описание):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 зона – (35)</w:t>
      </w:r>
      <w:r>
        <w:rPr>
          <w:rFonts w:ascii="Arial" w:cs="Arial" w:eastAsia="Arial" w:hAnsi="Arial"/>
          <w:sz w:val="24"/>
          <w:szCs w:val="24"/>
        </w:rPr>
        <w:t xml:space="preserve"> – ул.С.Ибраимова-Шамсинская, ул.Жантаева, р-н Гостиницы, от ул.Шамсинская до ул.Гагарина, от ул.С.Ибраимова до центрального рынка «Булак» и «Мурок», западная зона Автовокзала, ул.Кирова, Сарбагышева, Комсомольская, Дубовицкого, Амбулаторная, Борончиева, Трясина, Победа, Дунларова, Узбекская, Киргизская, Татарская, Пушкина, Казахстанская, Островная, Логвиненко, Вишневый, Кочкорбаева, Береговая, Токтогула, Превомайский, Л.Толстой, Ключевая, Интернациональная, Ломоносова, Чапаева, Строительная, Заводская.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II зона – (30)</w:t>
      </w:r>
      <w:r>
        <w:rPr>
          <w:rFonts w:ascii="Arial" w:cs="Arial" w:eastAsia="Arial" w:hAnsi="Arial"/>
          <w:sz w:val="24"/>
          <w:szCs w:val="24"/>
        </w:rPr>
        <w:t xml:space="preserve"> р-н Ворошилова (западная зона), ул.Жантаева (Автовокзал) З.Космодемьянкая, 8 марта, 70 лет Октября, Н.Луговая, В.Луговая, Лермонтова, Курчатова, Набережная, Тулебердиева, Речная Родниковая, Садаева, Иваницина, Громова, Вальцовая, Бригадная, Колхозная, Тюленина,Р.Зорге, Веселая, Зеленая, Маяковского.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III зона – (25)</w:t>
      </w:r>
      <w:r>
        <w:rPr>
          <w:rFonts w:ascii="Arial" w:cs="Arial" w:eastAsia="Arial" w:hAnsi="Arial"/>
          <w:sz w:val="24"/>
          <w:szCs w:val="24"/>
        </w:rPr>
        <w:t xml:space="preserve"> р-н Сахзавода, Стадионная, Манаса, Школьная, Прижевальского, Крупская, Молодежная, Дружба. Кагатная, Красноармейская, Мира, Кагатная, Циолковского.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IV зона – (20)</w:t>
      </w:r>
      <w:r>
        <w:rPr>
          <w:rFonts w:ascii="Arial" w:cs="Arial" w:eastAsia="Arial" w:hAnsi="Arial"/>
          <w:sz w:val="24"/>
          <w:szCs w:val="24"/>
        </w:rPr>
        <w:t xml:space="preserve"> Новостройка, Ровнягина, Ынтымак, Казахстанская, Бокина, Балкашина, Северцева, Кропоткина, Масанчина, восточная сторона ул.Дунларова, Пушкина, Татарская, Трясина, Победа, Дубовицкого, Островная, Авиа, Герцена, Вишневая, Логвиненко, Парковая.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V зона - (15)</w:t>
      </w:r>
      <w:r>
        <w:rPr>
          <w:rFonts w:ascii="Arial" w:cs="Arial" w:eastAsia="Arial" w:hAnsi="Arial"/>
          <w:sz w:val="24"/>
          <w:szCs w:val="24"/>
        </w:rPr>
        <w:t xml:space="preserve"> Промышленные зоны, Микрорайоны, ул.Фрунзе, 50 лет Киргизии, ул. Орозбекова, Космонавтов, север объездной дороги, черты населенных пунктов, подъездные пути территории автомоек и АЗС.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VI зона – (12)</w:t>
      </w:r>
      <w:r>
        <w:rPr>
          <w:rFonts w:ascii="Arial" w:cs="Arial" w:eastAsia="Arial" w:hAnsi="Arial"/>
          <w:sz w:val="24"/>
          <w:szCs w:val="24"/>
        </w:rPr>
        <w:t xml:space="preserve"> земельные участки предоставляемые под благоустройство, прилегающих территорий, домостроений, посадка многолетних насаждений, осущение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Вышеуказанные зоны не распространяются на земельные участки под объектами такие как аптеки, медицинские центры, лечебные, стоматологические кабинеты, а также рыбные хозяйства. </w:t>
      </w:r>
    </w:p>
    <w:p>
      <w:pPr>
        <w:spacing w:after="120"/>
        <w:ind w:firstLine="397"/>
        <w:jc w:val="both"/>
      </w:pPr>
      <w:r>
        <w:rPr>
          <w:rFonts w:ascii="Arial" w:cs="Arial" w:eastAsia="Arial" w:hAnsi="Arial"/>
          <w:sz w:val="24"/>
          <w:szCs w:val="24"/>
        </w:rPr>
        <w:t xml:space="preserve">На земельные участки под данными объектами </w:t>
      </w:r>
      <w:r>
        <w:rPr>
          <w:rFonts w:ascii="Arial" w:cs="Arial" w:eastAsia="Arial" w:hAnsi="Arial"/>
          <w:b/>
          <w:bCs/>
          <w:sz w:val="24"/>
          <w:szCs w:val="24"/>
        </w:rPr>
        <w:t xml:space="preserve">Кэпз</w:t>
      </w:r>
      <w:r>
        <w:rPr>
          <w:rFonts w:ascii="Arial" w:cs="Arial" w:eastAsia="Arial" w:hAnsi="Arial"/>
          <w:sz w:val="24"/>
          <w:szCs w:val="24"/>
        </w:rPr>
        <w:t xml:space="preserve"> применяется равным </w:t>
      </w:r>
      <w:r>
        <w:rPr>
          <w:rFonts w:ascii="Arial" w:cs="Arial" w:eastAsia="Arial" w:hAnsi="Arial"/>
          <w:b/>
          <w:bCs/>
          <w:sz w:val="24"/>
          <w:szCs w:val="24"/>
        </w:rPr>
        <w:t xml:space="preserve">50</w:t>
      </w:r>
      <w:r>
        <w:rPr>
          <w:rFonts w:ascii="Arial" w:cs="Arial" w:eastAsia="Arial" w:hAnsi="Arial"/>
          <w:sz w:val="24"/>
          <w:szCs w:val="24"/>
        </w:rPr>
        <w:t xml:space="preserve"> вне зависимости от места расположения.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М.А. Табалдиев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ocn9k0zf32gh7ksgci_">
      <w:r>
        <w:rPr>
          <w:rFonts w:ascii="Arial" w:cs="Arial" w:eastAsia="Arial" w:hAnsi="Arial"/>
          <w:color w:val="132D3F"/>
          <w:sz w:val="16"/>
          <w:szCs w:val="16"/>
          <w:u w:val="single"/>
        </w:rPr>
        <w:t xml:space="preserve">dalil.kg/document/137357</w:t>
      </w:r>
    </w:hyperlink>
  </w:p>
  <w:p>
    <w:pPr>
      <w:spacing w:after="0" w:before="40"/>
      <w:jc w:val="center"/>
    </w:pPr>
    <w:hyperlink w:history="1" r:id="rIdapebzd12marvck7e_9x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hu99xkch5xyupsz0-27" Type="http://schemas.openxmlformats.org/officeDocument/2006/relationships/hyperlink" Target="https://dalil.kg/document/1373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ocn9k0zf32gh7ksgci_" Type="http://schemas.openxmlformats.org/officeDocument/2006/relationships/hyperlink" Target="https://dalil.kg/document/137357" TargetMode="External"/><Relationship Id="rIdapebzd12marvck7e_9x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2026-09-28T13:54:19.114Z</dcterms:created>
  <dcterms:modified xsi:type="dcterms:W3CDTF">2026-09-28T13:54:19.114Z</dcterms:modified>
</cp:coreProperties>
</file>

<file path=docProps/custom.xml><?xml version="1.0" encoding="utf-8"?>
<Properties xmlns="http://schemas.openxmlformats.org/officeDocument/2006/custom-properties" xmlns:vt="http://schemas.openxmlformats.org/officeDocument/2006/docPropsVTypes"/>
</file>