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налога на имущество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5 и частью 3 статьи 37 Налогового кодекса Кыргызской Республики и частью 2 статьи 3 Закона Кыргызской Республики «О введении в действие Налогового кодекса Кыргызской Республики»,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</w:t>
      </w:r>
      <w:r>
        <w:rPr>
          <w:rFonts w:ascii="Arial" w:cs="Arial" w:eastAsia="Arial" w:hAnsi="Arial"/>
          <w:sz w:val="24"/>
          <w:szCs w:val="24"/>
        </w:rPr>
        <w:t xml:space="preserve">Ввести в действие с 1 января 2023 года на территории города Бишкек налог на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</w:t>
      </w:r>
      <w:r>
        <w:rPr>
          <w:rFonts w:ascii="Arial" w:cs="Arial" w:eastAsia="Arial" w:hAnsi="Arial"/>
          <w:sz w:val="24"/>
          <w:szCs w:val="24"/>
        </w:rPr>
        <w:t xml:space="preserve">Осуществлять администрирование налога, указанного в пункте 1 настоящего постановления, в соответствии с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8ckzoqrtkjqxsiow_y1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введении налога на имущество и земельного налога на территории города Бишкек» от 19 ноября 2013 года № 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Бишкекского городского кенеша по экономике, бюджету, финансам и инвестициям и первого заместителя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gj7ymvxgti6dq8suq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dalil.kg/document/137432</w:t>
      </w:r>
    </w:hyperlink>
  </w:p>
  <w:p>
    <w:pPr>
      <w:spacing w:after="0" w:before="40"/>
      <w:jc w:val="center"/>
    </w:pPr>
    <w:hyperlink w:history="1" r:id="rId33wsq7hfrcyzqrs0pfj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kzoqrtkjqxsiow_y1sf" Type="http://schemas.openxmlformats.org/officeDocument/2006/relationships/hyperlink" Target="https://dalil.kg/document/2049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gj7ymvxgti6dq8suq1a" Type="http://schemas.openxmlformats.org/officeDocument/2006/relationships/hyperlink" Target="https://dalil.kg/document/137432" TargetMode="External"/><Relationship Id="rId33wsq7hfrcyzqrs0pfj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2026-09-28T19:26:20.048Z</dcterms:created>
  <dcterms:modified xsi:type="dcterms:W3CDTF">2026-09-28T19:26:20.048Z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