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17 июня 2019 года № 295</w:t>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по вопросам повышения безопасности образовательной среды в общеобразовательных организациях</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saoa9xhbe2cgmepct8e41">
        <w:r>
          <w:rPr>
            <w:rFonts w:ascii="Arial" w:cs="Arial" w:eastAsia="Arial" w:hAnsi="Arial"/>
            <w:i/>
            <w:iCs/>
            <w:color w:val="1D4ED8"/>
            <w:sz w:val="24"/>
            <w:szCs w:val="24"/>
            <w:u w:val="single"/>
          </w:rPr>
          <w:t xml:space="preserve">17 января 2020 года № 12</w:t>
        </w:r>
      </w:hyperlink>
      <w:r>
        <w:rPr>
          <w:rFonts w:ascii="Arial" w:cs="Arial" w:eastAsia="Arial" w:hAnsi="Arial"/>
          <w:i/>
          <w:iCs/>
          <w:sz w:val="24"/>
          <w:szCs w:val="24"/>
        </w:rPr>
        <w:t xml:space="preserve">, </w:t>
      </w:r>
      <w:hyperlink w:history="1" r:id="rId8bszxmvx-_mkwjpqylxcc">
        <w:r>
          <w:rPr>
            <w:rFonts w:ascii="Arial" w:cs="Arial" w:eastAsia="Arial" w:hAnsi="Arial"/>
            <w:i/>
            <w:iCs/>
            <w:color w:val="1D4ED8"/>
            <w:sz w:val="24"/>
            <w:szCs w:val="24"/>
            <w:u w:val="single"/>
          </w:rPr>
          <w:t xml:space="preserve">5 марта 2021 года № 72</w:t>
        </w:r>
      </w:hyperlink>
      <w:r>
        <w:rPr>
          <w:rFonts w:ascii="Arial" w:cs="Arial" w:eastAsia="Arial" w:hAnsi="Arial"/>
          <w:i/>
          <w:iCs/>
          <w:sz w:val="24"/>
          <w:szCs w:val="24"/>
        </w:rPr>
        <w:t xml:space="preserve"> , Кабинета Министров КР от </w:t>
      </w:r>
      <w:hyperlink w:history="1" r:id="rId1revobmgv9nd-c5uvdzhn">
        <w:r>
          <w:rPr>
            <w:rFonts w:ascii="Arial" w:cs="Arial" w:eastAsia="Arial" w:hAnsi="Arial"/>
            <w:i/>
            <w:iCs/>
            <w:color w:val="1D4ED8"/>
            <w:sz w:val="24"/>
            <w:szCs w:val="24"/>
            <w:u w:val="single"/>
          </w:rPr>
          <w:t xml:space="preserve">27 августа 2024 года № 519</w:t>
        </w:r>
      </w:hyperlink>
      <w:r>
        <w:rPr>
          <w:rFonts w:ascii="Arial" w:cs="Arial" w:eastAsia="Arial" w:hAnsi="Arial"/>
          <w:i/>
          <w:iCs/>
          <w:sz w:val="24"/>
          <w:szCs w:val="24"/>
        </w:rPr>
        <w:t xml:space="preserve"> )</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повышения безопасности образовательной среды в общеобразовательных организациях,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_eci-csouhbs9nmfuovfm">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qxmy1urea5hmdt3npejb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января 2020 года № 12)</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ee2bvmwbqp6fp2bxyrgz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августа 2024 года № 519)</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13safph28blebw8_9jv_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марта 2021 года № 72)</w:t>
      </w:r>
    </w:p>
    <w:p>
      <w:pPr>
        <w:spacing w:after="60"/>
        <w:ind w:firstLine="567"/>
        <w:jc w:val="both"/>
      </w:pPr>
      <w:r>
        <w:rPr>
          <w:rFonts w:ascii="Arial" w:cs="Arial" w:eastAsia="Arial" w:hAnsi="Arial"/>
          <w:sz w:val="24"/>
          <w:szCs w:val="24"/>
        </w:rPr>
        <w:t xml:space="preserve">4. Внести в </w:t>
      </w:r>
      <w:hyperlink w:history="1" r:id="rIdijzmh3k2ktq3xvzsfnn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актов в области общественного здравоохранения" от 11 апреля 2016 года № 201 следующие изменения:</w:t>
      </w:r>
    </w:p>
    <w:p>
      <w:pPr>
        <w:spacing w:after="60"/>
        <w:ind w:firstLine="567"/>
        <w:jc w:val="both"/>
      </w:pPr>
      <w:r>
        <w:rPr>
          <w:rFonts w:ascii="Arial" w:cs="Arial" w:eastAsia="Arial" w:hAnsi="Arial"/>
          <w:sz w:val="24"/>
          <w:szCs w:val="24"/>
        </w:rPr>
        <w:t xml:space="preserve">в </w:t>
      </w:r>
      <w:hyperlink w:history="1" r:id="rIddlecijfbmhvxehmnfzabq">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Территория общеобразовательной организации должна быть ограждена металлическим (решетчатым) ограждением и озеленена.</w:t>
      </w:r>
    </w:p>
    <w:p>
      <w:pPr>
        <w:spacing w:after="60"/>
        <w:ind w:firstLine="567"/>
        <w:jc w:val="both"/>
      </w:pPr>
      <w:r>
        <w:rPr>
          <w:rFonts w:ascii="Arial" w:cs="Arial" w:eastAsia="Arial" w:hAnsi="Arial"/>
          <w:sz w:val="24"/>
          <w:szCs w:val="24"/>
        </w:rPr>
        <w:t xml:space="preserve">В общеобразовательных организациях, расположенных в сельской местности, допускаются легкие конструкции ограждений, а также живая изгородь. Вдоль ограждения следует предусматривать полосу зеленых насаждений.</w:t>
      </w:r>
    </w:p>
    <w:p>
      <w:pPr>
        <w:spacing w:after="60"/>
        <w:ind w:firstLine="567"/>
        <w:jc w:val="both"/>
      </w:pPr>
      <w:r>
        <w:rPr>
          <w:rFonts w:ascii="Arial" w:cs="Arial" w:eastAsia="Arial" w:hAnsi="Arial"/>
          <w:sz w:val="24"/>
          <w:szCs w:val="24"/>
        </w:rPr>
        <w:t xml:space="preserve">Озеленение территории общеобразовательной организации предусматривается из расчета не менее 50 процентов площади территории. Озеленение должно соответствовать особенностям климата и биологического разнообразия региона и производиться ярусами (травяные формы, кустарники, деревья).";</w:t>
      </w:r>
    </w:p>
    <w:p>
      <w:pPr>
        <w:spacing w:after="60"/>
        <w:ind w:firstLine="567"/>
        <w:jc w:val="both"/>
      </w:pPr>
      <w:r>
        <w:rPr>
          <w:rFonts w:ascii="Arial" w:cs="Arial" w:eastAsia="Arial" w:hAnsi="Arial"/>
          <w:sz w:val="24"/>
          <w:szCs w:val="24"/>
        </w:rPr>
        <w:t xml:space="preserve">- пункт 19 изложить в следующей редакции:</w:t>
      </w:r>
    </w:p>
    <w:p>
      <w:pPr>
        <w:spacing w:after="60"/>
        <w:ind w:firstLine="567"/>
        <w:jc w:val="both"/>
      </w:pPr>
      <w:r>
        <w:rPr>
          <w:rFonts w:ascii="Arial" w:cs="Arial" w:eastAsia="Arial" w:hAnsi="Arial"/>
          <w:sz w:val="24"/>
          <w:szCs w:val="24"/>
        </w:rPr>
        <w:t xml:space="preserve">"19. Физкультурно-спортивное оборудование должно соответствовать росто-возрастным особенностям обучающихся.</w:t>
      </w:r>
    </w:p>
    <w:p>
      <w:pPr>
        <w:spacing w:after="60"/>
        <w:ind w:firstLine="567"/>
        <w:jc w:val="both"/>
      </w:pPr>
      <w:r>
        <w:rPr>
          <w:rFonts w:ascii="Arial" w:cs="Arial" w:eastAsia="Arial" w:hAnsi="Arial"/>
          <w:sz w:val="24"/>
          <w:szCs w:val="24"/>
        </w:rPr>
        <w:t xml:space="preserve">Спортивные снаряды и оборудование должны находиться в целостности, исправности и быть надежно установлены.</w:t>
      </w:r>
    </w:p>
    <w:p>
      <w:pPr>
        <w:spacing w:after="60"/>
        <w:ind w:firstLine="567"/>
        <w:jc w:val="both"/>
      </w:pPr>
      <w:r>
        <w:rPr>
          <w:rFonts w:ascii="Arial" w:cs="Arial" w:eastAsia="Arial" w:hAnsi="Arial"/>
          <w:sz w:val="24"/>
          <w:szCs w:val="24"/>
        </w:rPr>
        <w:t xml:space="preserve">Общеобразовательная организация ежегодно, перед началом учебного года, создает комиссию по оценке спортивного оборудования.</w:t>
      </w:r>
    </w:p>
    <w:p>
      <w:pPr>
        <w:spacing w:after="60"/>
        <w:ind w:firstLine="567"/>
        <w:jc w:val="both"/>
      </w:pPr>
      <w:r>
        <w:rPr>
          <w:rFonts w:ascii="Arial" w:cs="Arial" w:eastAsia="Arial" w:hAnsi="Arial"/>
          <w:sz w:val="24"/>
          <w:szCs w:val="24"/>
        </w:rPr>
        <w:t xml:space="preserve">В состав комиссии входят представитель администрации общеобразовательной организации, учитель физической культуры и спорта, сотрудник уполномоченного органа, осуществляющего государственный надзор и контроль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Комиссия проводит оценку безопасности спортивного оборудования для жизни и здоровья обучающихся.</w:t>
      </w:r>
    </w:p>
    <w:p>
      <w:pPr>
        <w:spacing w:after="60"/>
        <w:ind w:firstLine="567"/>
        <w:jc w:val="both"/>
      </w:pPr>
      <w:r>
        <w:rPr>
          <w:rFonts w:ascii="Arial" w:cs="Arial" w:eastAsia="Arial" w:hAnsi="Arial"/>
          <w:sz w:val="24"/>
          <w:szCs w:val="24"/>
        </w:rPr>
        <w:t xml:space="preserve">По итогам работы комиссии составляется акт приемки с занесением результатов оценки в журнал состояния спортивного оборудования.</w:t>
      </w:r>
    </w:p>
    <w:p>
      <w:pPr>
        <w:spacing w:after="60"/>
        <w:ind w:firstLine="567"/>
        <w:jc w:val="both"/>
      </w:pPr>
      <w:r>
        <w:rPr>
          <w:rFonts w:ascii="Arial" w:cs="Arial" w:eastAsia="Arial" w:hAnsi="Arial"/>
          <w:sz w:val="24"/>
          <w:szCs w:val="24"/>
        </w:rPr>
        <w:t xml:space="preserve">Запрещается использование физкультурно-спортивного оборудования в неисправном состоянии, не прошедшего оценку безопасности.";</w:t>
      </w:r>
    </w:p>
    <w:p>
      <w:pPr>
        <w:spacing w:after="60"/>
        <w:ind w:firstLine="567"/>
        <w:jc w:val="both"/>
      </w:pPr>
      <w:r>
        <w:rPr>
          <w:rFonts w:ascii="Arial" w:cs="Arial" w:eastAsia="Arial" w:hAnsi="Arial"/>
          <w:sz w:val="24"/>
          <w:szCs w:val="24"/>
        </w:rPr>
        <w:t xml:space="preserve">- пункт 107 дополнить абзацем вторым следующего содержания:</w:t>
      </w:r>
    </w:p>
    <w:p>
      <w:pPr>
        <w:spacing w:after="60"/>
        <w:ind w:firstLine="567"/>
        <w:jc w:val="both"/>
      </w:pPr>
      <w:r>
        <w:rPr>
          <w:rFonts w:ascii="Arial" w:cs="Arial" w:eastAsia="Arial" w:hAnsi="Arial"/>
          <w:sz w:val="24"/>
          <w:szCs w:val="24"/>
        </w:rPr>
        <w:t xml:space="preserve">"В целях улучшения микроклимата используется озеленение учебных помещений и рекреаций. Для озеленения помещений используются растения, обладающие повышенной фитонцидной активностью, способностью поглощать ядовитые вещества и углекислый газ. Запрещается использовать для внутреннего озеленения колючие и ядовитые растения, а также производить установку на путях эвакуации.";</w:t>
      </w:r>
    </w:p>
    <w:p>
      <w:pPr>
        <w:spacing w:after="60"/>
        <w:ind w:firstLine="567"/>
        <w:jc w:val="both"/>
      </w:pPr>
      <w:r>
        <w:rPr>
          <w:rFonts w:ascii="Arial" w:cs="Arial" w:eastAsia="Arial" w:hAnsi="Arial"/>
          <w:sz w:val="24"/>
          <w:szCs w:val="24"/>
        </w:rPr>
        <w:t xml:space="preserve">- пункт 113 дополнить абзацем вторым следующего содержания:</w:t>
      </w:r>
    </w:p>
    <w:p>
      <w:pPr>
        <w:spacing w:after="60"/>
        <w:ind w:firstLine="567"/>
        <w:jc w:val="both"/>
      </w:pPr>
      <w:r>
        <w:rPr>
          <w:rFonts w:ascii="Arial" w:cs="Arial" w:eastAsia="Arial" w:hAnsi="Arial"/>
          <w:sz w:val="24"/>
          <w:szCs w:val="24"/>
        </w:rPr>
        <w:t xml:space="preserve">"Средняя концентрация диоксида углерода в учебном помещении не должна превышать 1500 частиц на миллион (ppm).";</w:t>
      </w:r>
    </w:p>
    <w:p>
      <w:pPr>
        <w:spacing w:after="60"/>
        <w:ind w:firstLine="567"/>
        <w:jc w:val="both"/>
      </w:pPr>
      <w:r>
        <w:rPr>
          <w:rFonts w:ascii="Arial" w:cs="Arial" w:eastAsia="Arial" w:hAnsi="Arial"/>
          <w:sz w:val="24"/>
          <w:szCs w:val="24"/>
        </w:rPr>
        <w:t xml:space="preserve">- пункт 147 изложить в следующей редакции:</w:t>
      </w:r>
    </w:p>
    <w:p>
      <w:pPr>
        <w:spacing w:after="60"/>
        <w:ind w:firstLine="567"/>
        <w:jc w:val="both"/>
      </w:pPr>
      <w:r>
        <w:rPr>
          <w:rFonts w:ascii="Arial" w:cs="Arial" w:eastAsia="Arial" w:hAnsi="Arial"/>
          <w:sz w:val="24"/>
          <w:szCs w:val="24"/>
        </w:rPr>
        <w:t xml:space="preserve">"147. В неканализованных районах сельских населенных пунктов здания общеобразовательных организаций оборудуют внутренней канализацией при условии устройства локальных очистных сооружений.</w:t>
      </w:r>
    </w:p>
    <w:p>
      <w:pPr>
        <w:spacing w:after="60"/>
        <w:ind w:firstLine="567"/>
        <w:jc w:val="both"/>
      </w:pPr>
      <w:r>
        <w:rPr>
          <w:rFonts w:ascii="Arial" w:cs="Arial" w:eastAsia="Arial" w:hAnsi="Arial"/>
          <w:sz w:val="24"/>
          <w:szCs w:val="24"/>
        </w:rPr>
        <w:t xml:space="preserve">Строительство наружного выгребного туалета разрешается, при отсутствии водоснабжения в здании общеобразовательной организации.</w:t>
      </w:r>
    </w:p>
    <w:p>
      <w:pPr>
        <w:spacing w:after="60"/>
        <w:ind w:firstLine="567"/>
        <w:jc w:val="both"/>
      </w:pPr>
      <w:r>
        <w:rPr>
          <w:rFonts w:ascii="Arial" w:cs="Arial" w:eastAsia="Arial" w:hAnsi="Arial"/>
          <w:sz w:val="24"/>
          <w:szCs w:val="24"/>
        </w:rPr>
        <w:t xml:space="preserve">В сельских населенных пунктах туалеты общеобразовательных организаций должны устраиваться с непроницаемыми выгребами. Допускается устройство неканализованных общественных уборных в виде люфт-клозетов.</w:t>
      </w:r>
    </w:p>
    <w:p>
      <w:pPr>
        <w:spacing w:after="60"/>
        <w:ind w:firstLine="567"/>
        <w:jc w:val="both"/>
      </w:pPr>
      <w:r>
        <w:rPr>
          <w:rFonts w:ascii="Arial" w:cs="Arial" w:eastAsia="Arial" w:hAnsi="Arial"/>
          <w:sz w:val="24"/>
          <w:szCs w:val="24"/>
        </w:rPr>
        <w:t xml:space="preserve">Выбор места для размещения наружных туалетов, их устройство и оборудование должны осуществляться согласно требованиям действующих санитарно-эпидемиологических правил и нормативов и согласовываться с уполномоченным государственным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Территория вокруг наружных туалетов должна быть асфальтирована или выложена плиткой с уклонами для отвода поверхностных вод и озеленена.</w:t>
      </w:r>
    </w:p>
    <w:p>
      <w:pPr>
        <w:spacing w:after="60"/>
        <w:ind w:firstLine="567"/>
        <w:jc w:val="both"/>
      </w:pPr>
      <w:r>
        <w:rPr>
          <w:rFonts w:ascii="Arial" w:cs="Arial" w:eastAsia="Arial" w:hAnsi="Arial"/>
          <w:sz w:val="24"/>
          <w:szCs w:val="24"/>
        </w:rPr>
        <w:t xml:space="preserve">В общеобразовательных организациях туалеты для мальчиков и девочек должны иметь раздельные входы, иметь естественное и искусственное освещение, включая путь до туалета. Туалеты должны располагаться на расстоянии не менее 25 метров от здания общеобразовательной организации.</w:t>
      </w:r>
    </w:p>
    <w:p>
      <w:pPr>
        <w:spacing w:after="60"/>
        <w:ind w:firstLine="567"/>
        <w:jc w:val="both"/>
      </w:pPr>
      <w:r>
        <w:rPr>
          <w:rFonts w:ascii="Arial" w:cs="Arial" w:eastAsia="Arial" w:hAnsi="Arial"/>
          <w:sz w:val="24"/>
          <w:szCs w:val="24"/>
        </w:rPr>
        <w:t xml:space="preserve">Наружные выгребные туалеты должны быть оборудованы кабинами с дверями, отделенными перегородками, высотой от пола не менее 1,8 м, не доходящими до пола на 0,2 м. Размеры кабин должны приниматься в плане 0,8 м х 1 м. Одна из кабин уборных для девочек должна быть в плане 1,8 м х 1,2 м.</w:t>
      </w:r>
    </w:p>
    <w:p>
      <w:pPr>
        <w:spacing w:after="60"/>
        <w:ind w:firstLine="567"/>
        <w:jc w:val="both"/>
      </w:pPr>
      <w:r>
        <w:rPr>
          <w:rFonts w:ascii="Arial" w:cs="Arial" w:eastAsia="Arial" w:hAnsi="Arial"/>
          <w:sz w:val="24"/>
          <w:szCs w:val="24"/>
        </w:rPr>
        <w:t xml:space="preserve">Напольное покрытие туалетных и умывальных комнат должно быть моющимся, без щелей, дефектов, трещин и иных механических повреждений. Стены должны легко подвергаться санитарной обработке.</w:t>
      </w:r>
    </w:p>
    <w:p>
      <w:pPr>
        <w:spacing w:after="60"/>
        <w:ind w:firstLine="567"/>
        <w:jc w:val="both"/>
      </w:pPr>
      <w:r>
        <w:rPr>
          <w:rFonts w:ascii="Arial" w:cs="Arial" w:eastAsia="Arial" w:hAnsi="Arial"/>
          <w:sz w:val="24"/>
          <w:szCs w:val="24"/>
        </w:rPr>
        <w:t xml:space="preserve">В туалетах должны быть установлены держатели для туалетной бумаги, раковины для мытья рук, педальные ведра.</w:t>
      </w:r>
    </w:p>
    <w:p>
      <w:pPr>
        <w:spacing w:after="60"/>
        <w:ind w:firstLine="567"/>
        <w:jc w:val="both"/>
      </w:pPr>
      <w:r>
        <w:rPr>
          <w:rFonts w:ascii="Arial" w:cs="Arial" w:eastAsia="Arial" w:hAnsi="Arial"/>
          <w:sz w:val="24"/>
          <w:szCs w:val="24"/>
        </w:rPr>
        <w:t xml:space="preserve">Строительство наружных туалетов в общеобразовательной организации должно производиться с учетом отдельных кабин для лиц с ограниченными возможностями здоровья, с установкой пандусов на входе в туалеты.</w:t>
      </w:r>
    </w:p>
    <w:p>
      <w:pPr>
        <w:spacing w:after="60"/>
        <w:ind w:firstLine="567"/>
        <w:jc w:val="both"/>
      </w:pPr>
      <w:r>
        <w:rPr>
          <w:rFonts w:ascii="Arial" w:cs="Arial" w:eastAsia="Arial" w:hAnsi="Arial"/>
          <w:sz w:val="24"/>
          <w:szCs w:val="24"/>
        </w:rPr>
        <w:t xml:space="preserve">В туалетах типа люфт-клозетов необходимо устройство системы приточно-вытяжной или вытяжной вентиляции.</w:t>
      </w:r>
    </w:p>
    <w:p>
      <w:pPr>
        <w:spacing w:after="60"/>
        <w:ind w:firstLine="567"/>
        <w:jc w:val="both"/>
      </w:pPr>
      <w:r>
        <w:rPr>
          <w:rFonts w:ascii="Arial" w:cs="Arial" w:eastAsia="Arial" w:hAnsi="Arial"/>
          <w:sz w:val="24"/>
          <w:szCs w:val="24"/>
        </w:rPr>
        <w:t xml:space="preserve">Количество санитарных приборов в уборных в среднем принимается из расчета - 1 унитаз на 40 девочек, 1 унитаз и 2 писсуара на 80 мальчиков.</w:t>
      </w:r>
    </w:p>
    <w:p>
      <w:pPr>
        <w:spacing w:after="60"/>
        <w:ind w:firstLine="567"/>
        <w:jc w:val="both"/>
      </w:pPr>
      <w:r>
        <w:rPr>
          <w:rFonts w:ascii="Arial" w:cs="Arial" w:eastAsia="Arial" w:hAnsi="Arial"/>
          <w:sz w:val="24"/>
          <w:szCs w:val="24"/>
        </w:rPr>
        <w:t xml:space="preserve">Выгреб люфт-клозетов устраивается герметичным. Дно и стены выгреба бетонируются или выкладываются кирпичом, деревом (с прокладкой утрамбованной глины), толщиной не менее 0,5 метра. Кирпичные выгреба изнутри штукатурятся, деревянные части должны быть просмолены. Люки для очистки выгреба закрываются плотной двойной крышкой.</w:t>
      </w:r>
    </w:p>
    <w:p>
      <w:pPr>
        <w:spacing w:after="60"/>
        <w:ind w:firstLine="567"/>
        <w:jc w:val="both"/>
      </w:pPr>
      <w:r>
        <w:rPr>
          <w:rFonts w:ascii="Arial" w:cs="Arial" w:eastAsia="Arial" w:hAnsi="Arial"/>
          <w:sz w:val="24"/>
          <w:szCs w:val="24"/>
        </w:rPr>
        <w:t xml:space="preserve">Не разрешается устройство и использование надворных туалетов без крыши (навеса), экранов-перегородок и заполнение выгреба более 2/3 объема.</w:t>
      </w:r>
    </w:p>
    <w:p>
      <w:pPr>
        <w:spacing w:after="60"/>
        <w:ind w:firstLine="567"/>
        <w:jc w:val="both"/>
      </w:pPr>
      <w:r>
        <w:rPr>
          <w:rFonts w:ascii="Arial" w:cs="Arial" w:eastAsia="Arial" w:hAnsi="Arial"/>
          <w:sz w:val="24"/>
          <w:szCs w:val="24"/>
        </w:rPr>
        <w:t xml:space="preserve">Санитарное состояние в уборных обеспечивает специальный обслуживающий персонал.</w:t>
      </w:r>
    </w:p>
    <w:p>
      <w:pPr>
        <w:spacing w:after="60"/>
        <w:ind w:firstLine="567"/>
        <w:jc w:val="both"/>
      </w:pPr>
      <w:r>
        <w:rPr>
          <w:rFonts w:ascii="Arial" w:cs="Arial" w:eastAsia="Arial" w:hAnsi="Arial"/>
          <w:sz w:val="24"/>
          <w:szCs w:val="24"/>
        </w:rPr>
        <w:t xml:space="preserve">Обслуживающий персонал должен иметь маркированный уборочный инвентарь, щетки, тряпки, запас дезинфицирующих средств, которые должны храниться в специальном помещении или шкафу.</w:t>
      </w:r>
    </w:p>
    <w:p>
      <w:pPr>
        <w:spacing w:after="60"/>
        <w:ind w:firstLine="567"/>
        <w:jc w:val="both"/>
      </w:pPr>
      <w:r>
        <w:rPr>
          <w:rFonts w:ascii="Arial" w:cs="Arial" w:eastAsia="Arial" w:hAnsi="Arial"/>
          <w:sz w:val="24"/>
          <w:szCs w:val="24"/>
        </w:rPr>
        <w:t xml:space="preserve">Для мытья и дезинфекции помещения и санитарно-технических приборов применяются дезинфицирующие средства. Дезинфицирующие средства должны иметь свидетельство о государственной регистрации, декларацию о соответствии, инструкцию о порядке обращения с ними.</w:t>
      </w:r>
    </w:p>
    <w:p>
      <w:pPr>
        <w:spacing w:after="60"/>
        <w:ind w:firstLine="567"/>
        <w:jc w:val="both"/>
      </w:pPr>
      <w:r>
        <w:rPr>
          <w:rFonts w:ascii="Arial" w:cs="Arial" w:eastAsia="Arial" w:hAnsi="Arial"/>
          <w:sz w:val="24"/>
          <w:szCs w:val="24"/>
        </w:rPr>
        <w:t xml:space="preserve">Расход дезинфицирующего средства производится из расчета норм расхода рабочего раствора на 1 кв. м обрабатываемой площади в соответствии с инструкциями по применению дезинфицирующего средства.</w:t>
      </w:r>
    </w:p>
    <w:p>
      <w:pPr>
        <w:spacing w:after="60"/>
        <w:ind w:firstLine="567"/>
        <w:jc w:val="both"/>
      </w:pPr>
      <w:r>
        <w:rPr>
          <w:rFonts w:ascii="Arial" w:cs="Arial" w:eastAsia="Arial" w:hAnsi="Arial"/>
          <w:sz w:val="24"/>
          <w:szCs w:val="24"/>
        </w:rPr>
        <w:t xml:space="preserve">Емкости с растворами дезинфицирующих средств должны закрываться крышками, иметь надписи с указанием названия средства, его концентрации, назначения и даты приготовления. Запрещается применение дезинфицирующих средств и рабочих растворов после истечения срока годности.</w:t>
      </w:r>
    </w:p>
    <w:p>
      <w:pPr>
        <w:spacing w:after="60"/>
        <w:ind w:firstLine="567"/>
        <w:jc w:val="both"/>
      </w:pPr>
      <w:r>
        <w:rPr>
          <w:rFonts w:ascii="Arial" w:cs="Arial" w:eastAsia="Arial" w:hAnsi="Arial"/>
          <w:sz w:val="24"/>
          <w:szCs w:val="24"/>
        </w:rPr>
        <w:t xml:space="preserve">Раковины, ручки дверей обрабатываются дезинфицирующим раствором методом протирания.</w:t>
      </w:r>
    </w:p>
    <w:p>
      <w:pPr>
        <w:spacing w:after="60"/>
        <w:ind w:firstLine="567"/>
        <w:jc w:val="both"/>
      </w:pPr>
      <w:r>
        <w:rPr>
          <w:rFonts w:ascii="Arial" w:cs="Arial" w:eastAsia="Arial" w:hAnsi="Arial"/>
          <w:sz w:val="24"/>
          <w:szCs w:val="24"/>
        </w:rPr>
        <w:t xml:space="preserve">Унитазы, напольные чаши, надворные туалеты и биотуалеты дезинфицируются орошением.</w:t>
      </w:r>
    </w:p>
    <w:p>
      <w:pPr>
        <w:spacing w:after="60"/>
        <w:ind w:firstLine="567"/>
        <w:jc w:val="both"/>
      </w:pPr>
      <w:r>
        <w:rPr>
          <w:rFonts w:ascii="Arial" w:cs="Arial" w:eastAsia="Arial" w:hAnsi="Arial"/>
          <w:sz w:val="24"/>
          <w:szCs w:val="24"/>
        </w:rPr>
        <w:t xml:space="preserve">Для уборки выделяется промаркированный уборочный инвентарь, щетки, ветошь, дезинфицирующие и моющие средства, которые хранятся в специальном помещении или шкафу.</w:t>
      </w:r>
    </w:p>
    <w:p>
      <w:pPr>
        <w:spacing w:after="60"/>
        <w:ind w:firstLine="567"/>
        <w:jc w:val="both"/>
      </w:pPr>
      <w:r>
        <w:rPr>
          <w:rFonts w:ascii="Arial" w:cs="Arial" w:eastAsia="Arial" w:hAnsi="Arial"/>
          <w:sz w:val="24"/>
          <w:szCs w:val="24"/>
        </w:rPr>
        <w:t xml:space="preserve">Уборочный инвентарь после уборки дезинфицируется замачиванием в дезинфицирующем растворе, в емкости с плотно закрытой крышкой. После окончании дезинфекции уборочный материал прополаскивается в воде и просушивается.";</w:t>
      </w:r>
    </w:p>
    <w:p>
      <w:pPr>
        <w:spacing w:after="60"/>
        <w:ind w:firstLine="567"/>
        <w:jc w:val="both"/>
      </w:pPr>
      <w:r>
        <w:rPr>
          <w:rFonts w:ascii="Arial" w:cs="Arial" w:eastAsia="Arial" w:hAnsi="Arial"/>
          <w:sz w:val="24"/>
          <w:szCs w:val="24"/>
        </w:rPr>
        <w:t xml:space="preserve">- пункт 154 дополнить абзацем вторым следующего содержания:</w:t>
      </w:r>
    </w:p>
    <w:p>
      <w:pPr>
        <w:spacing w:after="60"/>
        <w:ind w:firstLine="567"/>
        <w:jc w:val="both"/>
      </w:pPr>
      <w:r>
        <w:rPr>
          <w:rFonts w:ascii="Arial" w:cs="Arial" w:eastAsia="Arial" w:hAnsi="Arial"/>
          <w:sz w:val="24"/>
          <w:szCs w:val="24"/>
        </w:rPr>
        <w:t xml:space="preserve">"Не допускается хранение воды в пластиковой таре под прямыми солнечными лучами, а также повторное кипячение питьевой воды, срок хранения которой должен составлять не более 3-х часов.";</w:t>
      </w:r>
    </w:p>
    <w:p>
      <w:pPr>
        <w:spacing w:after="60"/>
        <w:ind w:firstLine="567"/>
        <w:jc w:val="both"/>
      </w:pPr>
      <w:r>
        <w:rPr>
          <w:rFonts w:ascii="Arial" w:cs="Arial" w:eastAsia="Arial" w:hAnsi="Arial"/>
          <w:sz w:val="24"/>
          <w:szCs w:val="24"/>
        </w:rPr>
        <w:t xml:space="preserve">- пункт 213 дополнить абзацем вторым следующего содержания:</w:t>
      </w:r>
    </w:p>
    <w:p>
      <w:pPr>
        <w:spacing w:after="60"/>
        <w:ind w:firstLine="567"/>
        <w:jc w:val="both"/>
      </w:pPr>
      <w:r>
        <w:rPr>
          <w:rFonts w:ascii="Arial" w:cs="Arial" w:eastAsia="Arial" w:hAnsi="Arial"/>
          <w:sz w:val="24"/>
          <w:szCs w:val="24"/>
        </w:rPr>
        <w:t xml:space="preserve">"Химическая обработка зеленых насаждений на территории образовательной организации во время учебного процесса запрещается.".</w:t>
      </w:r>
    </w:p>
    <w:p>
      <w:pPr>
        <w:spacing w:after="60"/>
        <w:ind w:firstLine="567"/>
        <w:jc w:val="both"/>
      </w:pPr>
      <w:r>
        <w:rPr>
          <w:rFonts w:ascii="Arial" w:cs="Arial" w:eastAsia="Arial" w:hAnsi="Arial"/>
          <w:sz w:val="24"/>
          <w:szCs w:val="24"/>
        </w:rPr>
        <w:t xml:space="preserve">5. Министерствам и административным ведомствам, полномочным представителям Правительства Кыргызской Республики в областях, местным государственным администрациям и органам местного самоуправления (по согласованию) принять соответствующие меры, вытекающие из настоящего постановления.</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тридцати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июня 2019 года N 52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aoa9xhbe2cgmepct8e41" Type="http://schemas.openxmlformats.org/officeDocument/2006/relationships/hyperlink" Target="http://kodeks.duckdns.org/document/157423" TargetMode="External"/><Relationship Id="rId8bszxmvx-_mkwjpqylxcc" Type="http://schemas.openxmlformats.org/officeDocument/2006/relationships/hyperlink" Target="http://kodeks.duckdns.org/document/158085" TargetMode="External"/><Relationship Id="rId1revobmgv9nd-c5uvdzhn" Type="http://schemas.openxmlformats.org/officeDocument/2006/relationships/hyperlink" Target="http://kodeks.duckdns.org/document/230013055" TargetMode="External"/><Relationship Id="rId_eci-csouhbs9nmfuovfm" Type="http://schemas.openxmlformats.org/officeDocument/2006/relationships/hyperlink" Target="http://kodeks.duckdns.org/document/203685" TargetMode="External"/><Relationship Id="rIdqxmy1urea5hmdt3npejbe" Type="http://schemas.openxmlformats.org/officeDocument/2006/relationships/hyperlink" Target="http://kodeks.duckdns.org/document/157423" TargetMode="External"/><Relationship Id="rIdee2bvmwbqp6fp2bxyrgz9" Type="http://schemas.openxmlformats.org/officeDocument/2006/relationships/hyperlink" Target="http://kodeks.duckdns.org/document/230013055" TargetMode="External"/><Relationship Id="rId13safph28blebw8_9jv_t" Type="http://schemas.openxmlformats.org/officeDocument/2006/relationships/hyperlink" Target="http://kodeks.duckdns.org/document/158085" TargetMode="External"/><Relationship Id="rIdijzmh3k2ktq3xvzsfnnyf" Type="http://schemas.openxmlformats.org/officeDocument/2006/relationships/hyperlink" Target="http://kodeks.duckdns.org/document/98479" TargetMode="External"/><Relationship Id="rIddlecijfbmhvxehmnfzabq" Type="http://schemas.openxmlformats.org/officeDocument/2006/relationships/hyperlink" Target="http://kodeks.duckdns.org/document/11948"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2026-09-23T01:22:23.179Z</dcterms:created>
  <dcterms:modified xsi:type="dcterms:W3CDTF">2026-09-23T01:22:23.179Z</dcterms:modified>
</cp:coreProperties>
</file>

<file path=docProps/custom.xml><?xml version="1.0" encoding="utf-8"?>
<Properties xmlns="http://schemas.openxmlformats.org/officeDocument/2006/custom-properties" xmlns:vt="http://schemas.openxmlformats.org/officeDocument/2006/docPropsVTypes"/>
</file>