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24 июня 2019 года № 311</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 конституционного Закона Кыргызской Республики "О внесении изменений в конституционный Закон Кыргызской Республики "О выборах Президента Кыргызской Республики и депутатов Жогорку Кенеша Кыргызской Республики"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ccq7oc4heuxdvkcuyxhga">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jnlfhoyty8knk9dtu4dxk">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конституционного Закона Кыргызской Республики "О внесении изменений в </w:t>
      </w:r>
      <w:hyperlink w:history="1" r:id="rIdlyzc3lpe4phfbybkfljen">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инициированный депутатами Жогорку Кенеша Кыргызской Республики Бакировым М.И., Торобаевым Б.Э., Матраимовым И.И., Алтынбековым А.А., Назаровым А.К., Эргешовым А.М., Алимбековым Н.К., Ормоновым У.З., Жамалдиновым З.И., Жунус у.А., Асылбаевой Г.К., Султановым А.А., Узакбаевым А.О., Шайназаровым Т.У., Юсуровым А.Л., Гайпкуловым И.Т., Токтошевым Э.Т.</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24 июня 2019 года № 311</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конституционного Закона Кыргызской Республики "О внесении изменений в конституционный Закон Кыргызской Республики "О выборах Президента Кыргызской Республики и депутатов Жогорку Кенеша Кыргызской Республики"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yipkiqvsfwimnehyles3l">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конституционного Закона Кыргызской Республики "О внесении изменений в </w:t>
      </w:r>
      <w:hyperlink w:history="1" r:id="rIdge19eqhploi2uxkxl8oqs">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инициированный депутатами Жогорку Кенеша Кыргызской Республики Бакировым М.И., Торобаевым Б.Э., Матраимовым И.И., Алтынбековым А.А., Назаровым А.К., Эргешовым А.М., Алимбековым Н.К., Ормоновым У.З., Жамалдиновым З.И., Жунус у.А., Асылбаевой Г.К., Султановым А.М., Узакбаевым А.О., Шайназаровым Т.У., Юсуровым А.Л., Гайпкуловым И.Т., Токтошевым Э.Т., приходит к следующему заключению.</w:t>
      </w:r>
    </w:p>
    <w:p>
      <w:pPr>
        <w:spacing w:after="60"/>
        <w:ind w:firstLine="567"/>
        <w:jc w:val="both"/>
      </w:pPr>
      <w:r>
        <w:rPr>
          <w:rFonts w:ascii="Arial" w:cs="Arial" w:eastAsia="Arial" w:hAnsi="Arial"/>
          <w:sz w:val="24"/>
          <w:szCs w:val="24"/>
        </w:rPr>
        <w:t xml:space="preserve">Данное заключение подготовлено с учетом позиции государственных органов, входящих в систему исполнительной власти, органов местного самоуправления, а также Центральной комиссии по выборам и проведению референдумов Кыргызской Республики (далее - ЦИК).</w:t>
      </w:r>
    </w:p>
    <w:p>
      <w:pPr>
        <w:spacing w:after="60"/>
        <w:ind w:firstLine="567"/>
        <w:jc w:val="both"/>
      </w:pPr>
      <w:r>
        <w:rPr>
          <w:rFonts w:ascii="Arial" w:cs="Arial" w:eastAsia="Arial" w:hAnsi="Arial"/>
          <w:sz w:val="24"/>
          <w:szCs w:val="24"/>
        </w:rPr>
        <w:t xml:space="preserve">Концепция вышеуказанного проекта конституционного Закона предусматривает разрешение кандидатам и политическим партиям проводить агитацию не со дня окончания срока регистрации всех кандидатов, а со дня их выдвижения.</w:t>
      </w:r>
    </w:p>
    <w:p>
      <w:pPr>
        <w:spacing w:after="60"/>
        <w:ind w:firstLine="567"/>
        <w:jc w:val="both"/>
      </w:pPr>
      <w:r>
        <w:rPr>
          <w:rFonts w:ascii="Arial" w:cs="Arial" w:eastAsia="Arial" w:hAnsi="Arial"/>
          <w:sz w:val="24"/>
          <w:szCs w:val="24"/>
        </w:rPr>
        <w:t xml:space="preserve">Правительство Кыргызской Республики, считает возможным принятие данного проекта Закона с учетом следующих замечаний и предложений.</w:t>
      </w:r>
    </w:p>
    <w:p>
      <w:pPr>
        <w:spacing w:after="60"/>
        <w:ind w:firstLine="567"/>
        <w:jc w:val="both"/>
      </w:pPr>
      <w:r>
        <w:rPr>
          <w:rFonts w:ascii="Arial" w:cs="Arial" w:eastAsia="Arial" w:hAnsi="Arial"/>
          <w:sz w:val="24"/>
          <w:szCs w:val="24"/>
        </w:rPr>
        <w:t xml:space="preserve">1. Подпунктом "г" пункта 1 и подпунктами "а" и "в" пункта 4 статьи 1 проекта конституционного Закона Кыргызской Республики "О внесении изменений в </w:t>
      </w:r>
      <w:hyperlink w:history="1" r:id="rId9tn7no-nybttzjwfiqw3n">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(далее - проект Закона) предлагается внести изменения в часть 9 </w:t>
      </w:r>
      <w:r>
        <w:rPr>
          <w:rFonts w:ascii="Arial" w:cs="Arial" w:eastAsia="Arial" w:hAnsi="Arial"/>
          <w:sz w:val="24"/>
          <w:szCs w:val="24"/>
        </w:rPr>
        <w:t xml:space="preserve">статьи 22</w:t>
      </w:r>
      <w:r>
        <w:rPr>
          <w:rFonts w:ascii="Arial" w:cs="Arial" w:eastAsia="Arial" w:hAnsi="Arial"/>
          <w:sz w:val="24"/>
          <w:szCs w:val="24"/>
        </w:rPr>
        <w:t xml:space="preserve"> и части 1, 3 </w:t>
      </w:r>
      <w:r>
        <w:rPr>
          <w:rFonts w:ascii="Arial" w:cs="Arial" w:eastAsia="Arial" w:hAnsi="Arial"/>
          <w:sz w:val="24"/>
          <w:szCs w:val="24"/>
        </w:rPr>
        <w:t xml:space="preserve">статьи 26</w:t>
      </w:r>
      <w:r>
        <w:rPr>
          <w:rFonts w:ascii="Arial" w:cs="Arial" w:eastAsia="Arial" w:hAnsi="Arial"/>
          <w:sz w:val="24"/>
          <w:szCs w:val="24"/>
        </w:rPr>
        <w:t xml:space="preserve"> </w:t>
      </w:r>
      <w:hyperlink w:history="1" r:id="rIdfvxw-jxuokqa_qrowvwrk">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(далее - конституционный Закон), согласно которым на органы местного самоуправления возлагается ответственность за проведение массовых агитационных мероприятий и встреч с избирателями.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106</w:t>
      </w:r>
      <w:r>
        <w:rPr>
          <w:rFonts w:ascii="Arial" w:cs="Arial" w:eastAsia="Arial" w:hAnsi="Arial"/>
          <w:sz w:val="24"/>
          <w:szCs w:val="24"/>
        </w:rPr>
        <w:t xml:space="preserve"> </w:t>
      </w:r>
      <w:hyperlink w:history="1" r:id="rIda3g_zkx3hvb3tqvgauce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частью 1 </w:t>
      </w:r>
      <w:r>
        <w:rPr>
          <w:rFonts w:ascii="Arial" w:cs="Arial" w:eastAsia="Arial" w:hAnsi="Arial"/>
          <w:sz w:val="24"/>
          <w:szCs w:val="24"/>
        </w:rPr>
        <w:t xml:space="preserve">статьи 12</w:t>
      </w:r>
      <w:r>
        <w:rPr>
          <w:rFonts w:ascii="Arial" w:cs="Arial" w:eastAsia="Arial" w:hAnsi="Arial"/>
          <w:sz w:val="24"/>
          <w:szCs w:val="24"/>
        </w:rPr>
        <w:t xml:space="preserve"> </w:t>
      </w:r>
      <w:hyperlink w:history="1" r:id="rIdmmdfywgb0dtehqogg33js">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избирательные комиссии организуют подготовку и проведение выборов в Кыргызской Республике, обеспечивают реализацию и защиту избирательных прав граждан Кыргызской Республики.</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1</w:t>
      </w:r>
      <w:r>
        <w:rPr>
          <w:rFonts w:ascii="Arial" w:cs="Arial" w:eastAsia="Arial" w:hAnsi="Arial"/>
          <w:sz w:val="24"/>
          <w:szCs w:val="24"/>
        </w:rPr>
        <w:t xml:space="preserve"> </w:t>
      </w:r>
      <w:hyperlink w:history="1" r:id="rId712g-pgpaa9dxvielfdhb">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избирательные права граждан - право граждан Кыргызской Республики избирать и быть избранными в органы государственной власти и органы местного самоуправления, в том числе участвовать в выдвижении кандидатов, предвыборной агитации, наблюдении за проведением выборов, работой избирательных комиссий, включая установление итогов голосования и определение результатов выборов, а также в других избирательных действиях.</w:t>
      </w:r>
    </w:p>
    <w:p>
      <w:pPr>
        <w:spacing w:after="60"/>
        <w:ind w:firstLine="567"/>
        <w:jc w:val="both"/>
      </w:pPr>
      <w:r>
        <w:rPr>
          <w:rFonts w:ascii="Arial" w:cs="Arial" w:eastAsia="Arial" w:hAnsi="Arial"/>
          <w:sz w:val="24"/>
          <w:szCs w:val="24"/>
        </w:rPr>
        <w:t xml:space="preserve">Согласно части 1 </w:t>
      </w:r>
      <w:r>
        <w:rPr>
          <w:rFonts w:ascii="Arial" w:cs="Arial" w:eastAsia="Arial" w:hAnsi="Arial"/>
          <w:sz w:val="24"/>
          <w:szCs w:val="24"/>
        </w:rPr>
        <w:t xml:space="preserve">статьи 4</w:t>
      </w:r>
      <w:r>
        <w:rPr>
          <w:rFonts w:ascii="Arial" w:cs="Arial" w:eastAsia="Arial" w:hAnsi="Arial"/>
          <w:sz w:val="24"/>
          <w:szCs w:val="24"/>
        </w:rPr>
        <w:t xml:space="preserve"> </w:t>
      </w:r>
      <w:hyperlink w:history="1" r:id="rIdjlqvq5hf48t2p-cvbzu5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местное самоуправление - самостоятельная деятельность местного сообщества в своих интересах и под свою ответственность, направленная на решение вопросов местного значения.</w:t>
      </w:r>
    </w:p>
    <w:p>
      <w:pPr>
        <w:spacing w:after="60"/>
        <w:ind w:firstLine="567"/>
        <w:jc w:val="both"/>
      </w:pPr>
      <w:r>
        <w:rPr>
          <w:rFonts w:ascii="Arial" w:cs="Arial" w:eastAsia="Arial" w:hAnsi="Arial"/>
          <w:sz w:val="24"/>
          <w:szCs w:val="24"/>
        </w:rPr>
        <w:t xml:space="preserve">В пункте 1 части 1 </w:t>
      </w:r>
      <w:r>
        <w:rPr>
          <w:rFonts w:ascii="Arial" w:cs="Arial" w:eastAsia="Arial" w:hAnsi="Arial"/>
          <w:sz w:val="24"/>
          <w:szCs w:val="24"/>
        </w:rPr>
        <w:t xml:space="preserve">статьи 3</w:t>
      </w:r>
      <w:r>
        <w:rPr>
          <w:rFonts w:ascii="Arial" w:cs="Arial" w:eastAsia="Arial" w:hAnsi="Arial"/>
          <w:sz w:val="24"/>
          <w:szCs w:val="24"/>
        </w:rPr>
        <w:t xml:space="preserve"> </w:t>
      </w:r>
      <w:hyperlink w:history="1" r:id="rIdvkcvebmezscdxdorjmrz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указано, что к принципам местного самоуправления относится разграничение функций и полномочий органов государственной власти и органов местного самоуправления.</w:t>
      </w:r>
    </w:p>
    <w:p>
      <w:pPr>
        <w:spacing w:after="60"/>
        <w:ind w:firstLine="567"/>
        <w:jc w:val="both"/>
      </w:pPr>
      <w:r>
        <w:rPr>
          <w:rFonts w:ascii="Arial" w:cs="Arial" w:eastAsia="Arial" w:hAnsi="Arial"/>
          <w:sz w:val="24"/>
          <w:szCs w:val="24"/>
        </w:rPr>
        <w:t xml:space="preserve">В связи с вышеизложенным, а также, поскольку агитационные мероприятия и встречи с избирателями являются формой реализации избирательных прав граждан, во избежание избирательных споров о неравных подходах к организации мероприятий в подпункте "г" пункта 1 и подпунктах "а", "в" пункта 4 статьи 1 проекта Закона слова "органы местного самоуправления" предлагается исключить.</w:t>
      </w:r>
    </w:p>
    <w:p>
      <w:pPr>
        <w:spacing w:after="60"/>
        <w:ind w:firstLine="567"/>
        <w:jc w:val="both"/>
      </w:pPr>
      <w:r>
        <w:rPr>
          <w:rFonts w:ascii="Arial" w:cs="Arial" w:eastAsia="Arial" w:hAnsi="Arial"/>
          <w:sz w:val="24"/>
          <w:szCs w:val="24"/>
        </w:rPr>
        <w:t xml:space="preserve">2. ЦИК относительно положений, вводимых в части опубликования (освещения) результатов опросов общественного мнения, связанных с выборами, предусмотренных в подпункте "в" пункта 1 статьи 1 проекта Закона, считает нецелесообразным определять их в категорию агитации, поскольку проведение, опубликование (освещение) опросов общественного мнения с соблюдением требований, установленных конституционным Законом, позволяет оценить поддержку разных кандидатов и партий среди избирателей, показывает информационную картину избирательной кампании и способствует прозрачности выборного процесса. Кроме того, введение предлагаемых положений может ограничить свободу предоставления информации гражданам средствами массовой информации и другими организациями посредством проведения и опубликования (освещения) опросов общественного мнения.</w:t>
      </w:r>
    </w:p>
    <w:p>
      <w:pPr>
        <w:spacing w:after="60"/>
        <w:ind w:firstLine="567"/>
        <w:jc w:val="both"/>
      </w:pPr>
      <w:r>
        <w:rPr>
          <w:rFonts w:ascii="Arial" w:cs="Arial" w:eastAsia="Arial" w:hAnsi="Arial"/>
          <w:sz w:val="24"/>
          <w:szCs w:val="24"/>
        </w:rPr>
        <w:t xml:space="preserve">3. В части положений, регламентирующих порядок проведения агитации, вводится понятие "религиозный деятель" (подпункт "з" пункта 1 статьи проекта Закона). В связи с чем предлагается ввести определение данного понятия в понятийный аппарат, предусмотренный в статье 1 конституционного Закона.</w:t>
      </w:r>
    </w:p>
    <w:p>
      <w:pPr>
        <w:spacing w:after="60"/>
        <w:ind w:firstLine="567"/>
        <w:jc w:val="both"/>
      </w:pPr>
      <w:r>
        <w:rPr>
          <w:rFonts w:ascii="Arial" w:cs="Arial" w:eastAsia="Arial" w:hAnsi="Arial"/>
          <w:sz w:val="24"/>
          <w:szCs w:val="24"/>
        </w:rPr>
        <w:t xml:space="preserve">4. Пунктом 2 статьи 1 проекта Закона вносятся поправки в </w:t>
      </w:r>
      <w:r>
        <w:rPr>
          <w:rFonts w:ascii="Arial" w:cs="Arial" w:eastAsia="Arial" w:hAnsi="Arial"/>
          <w:sz w:val="24"/>
          <w:szCs w:val="24"/>
        </w:rPr>
        <w:t xml:space="preserve">статью 23</w:t>
      </w:r>
      <w:r>
        <w:rPr>
          <w:rFonts w:ascii="Arial" w:cs="Arial" w:eastAsia="Arial" w:hAnsi="Arial"/>
          <w:sz w:val="24"/>
          <w:szCs w:val="24"/>
        </w:rPr>
        <w:t xml:space="preserve"> </w:t>
      </w:r>
      <w:hyperlink w:history="1" r:id="rIde3mqlfcir_0rwqtovfzzg">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которыми предлагается определить срок начала предвыборной агитации со дня выдвижения кандидатов, списков кандидатов.</w:t>
      </w:r>
    </w:p>
    <w:p>
      <w:pPr>
        <w:spacing w:after="60"/>
        <w:ind w:firstLine="567"/>
        <w:jc w:val="both"/>
      </w:pPr>
      <w:r>
        <w:rPr>
          <w:rFonts w:ascii="Arial" w:cs="Arial" w:eastAsia="Arial" w:hAnsi="Arial"/>
          <w:sz w:val="24"/>
          <w:szCs w:val="24"/>
        </w:rPr>
        <w:t xml:space="preserve">В справке-обосновании к законопроекту со ссылкой на часть 1 </w:t>
      </w:r>
      <w:r>
        <w:rPr>
          <w:rFonts w:ascii="Arial" w:cs="Arial" w:eastAsia="Arial" w:hAnsi="Arial"/>
          <w:sz w:val="24"/>
          <w:szCs w:val="24"/>
        </w:rPr>
        <w:t xml:space="preserve">статьи 53</w:t>
      </w:r>
      <w:r>
        <w:rPr>
          <w:rFonts w:ascii="Arial" w:cs="Arial" w:eastAsia="Arial" w:hAnsi="Arial"/>
          <w:sz w:val="24"/>
          <w:szCs w:val="24"/>
        </w:rPr>
        <w:t xml:space="preserve"> </w:t>
      </w:r>
      <w:hyperlink w:history="1" r:id="rIdqcok6z0rujgpqwzcnhypj">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указывается, что регистрация на должность Президента Кыргызской Республики осуществляется не позднее чем за 45 календарных дней до дня выборов и поэтому кандидаты по своему усмотрению могут определять дату регистрации, что приводит к неравным условиям и ограничивает их права на агитацию.</w:t>
      </w:r>
    </w:p>
    <w:p>
      <w:pPr>
        <w:spacing w:after="60"/>
        <w:ind w:firstLine="567"/>
        <w:jc w:val="both"/>
      </w:pPr>
      <w:r>
        <w:rPr>
          <w:rFonts w:ascii="Arial" w:cs="Arial" w:eastAsia="Arial" w:hAnsi="Arial"/>
          <w:sz w:val="24"/>
          <w:szCs w:val="24"/>
        </w:rPr>
        <w:t xml:space="preserve">Однако часть 1 </w:t>
      </w:r>
      <w:r>
        <w:rPr>
          <w:rFonts w:ascii="Arial" w:cs="Arial" w:eastAsia="Arial" w:hAnsi="Arial"/>
          <w:sz w:val="24"/>
          <w:szCs w:val="24"/>
        </w:rPr>
        <w:t xml:space="preserve">статьи 53</w:t>
      </w:r>
      <w:r>
        <w:rPr>
          <w:rFonts w:ascii="Arial" w:cs="Arial" w:eastAsia="Arial" w:hAnsi="Arial"/>
          <w:sz w:val="24"/>
          <w:szCs w:val="24"/>
        </w:rPr>
        <w:t xml:space="preserve"> </w:t>
      </w:r>
      <w:hyperlink w:history="1" r:id="rIdky94hoakd4pwchw--eeu3">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регулирует порядок предоставления в ЦИК документов для регистрации кандидатов в Президенты Кыргызской Республики, а не срок регистрации кандидатов.</w:t>
      </w:r>
    </w:p>
    <w:p>
      <w:pPr>
        <w:spacing w:after="60"/>
        <w:ind w:firstLine="567"/>
        <w:jc w:val="both"/>
      </w:pPr>
      <w:r>
        <w:rPr>
          <w:rFonts w:ascii="Arial" w:cs="Arial" w:eastAsia="Arial" w:hAnsi="Arial"/>
          <w:sz w:val="24"/>
          <w:szCs w:val="24"/>
        </w:rPr>
        <w:t xml:space="preserve">При этом, согласно части 5 указанной статьи регистрация кандидатов на должность Президента Кыргызской Республики заканчивается за 35 календарных дней до дня выборов.</w:t>
      </w:r>
    </w:p>
    <w:p>
      <w:pPr>
        <w:spacing w:after="60"/>
        <w:ind w:firstLine="567"/>
        <w:jc w:val="both"/>
      </w:pPr>
      <w:r>
        <w:rPr>
          <w:rFonts w:ascii="Arial" w:cs="Arial" w:eastAsia="Arial" w:hAnsi="Arial"/>
          <w:sz w:val="24"/>
          <w:szCs w:val="24"/>
        </w:rPr>
        <w:t xml:space="preserve">Следует учесть, что согласно частям 2 и 7 </w:t>
      </w:r>
      <w:r>
        <w:rPr>
          <w:rFonts w:ascii="Arial" w:cs="Arial" w:eastAsia="Arial" w:hAnsi="Arial"/>
          <w:sz w:val="24"/>
          <w:szCs w:val="24"/>
        </w:rPr>
        <w:t xml:space="preserve">статьи 52</w:t>
      </w:r>
      <w:r>
        <w:rPr>
          <w:rFonts w:ascii="Arial" w:cs="Arial" w:eastAsia="Arial" w:hAnsi="Arial"/>
          <w:sz w:val="24"/>
          <w:szCs w:val="24"/>
        </w:rPr>
        <w:t xml:space="preserve"> </w:t>
      </w:r>
      <w:hyperlink w:history="1" r:id="rIdr9ct2kbrnizqnzafrqgw_">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сбор подписей осуществляется со дня выдвижения кандидатов в Президенты Кыргызской Республики и организуется уполномоченными представителями кандидата, а подписные листы по сбору подписей в поддержку такого кандидата сдаются уполномоченными представителями не позднее чем за 50 календарных дней до дня выборов в ЦИК, которая в 10-дневный срок осуществляет проверку достоверности подписей с привлечением работников регистрационных служб.</w:t>
      </w:r>
    </w:p>
    <w:p>
      <w:pPr>
        <w:spacing w:after="60"/>
        <w:ind w:firstLine="567"/>
        <w:jc w:val="both"/>
      </w:pPr>
      <w:r>
        <w:rPr>
          <w:rFonts w:ascii="Arial" w:cs="Arial" w:eastAsia="Arial" w:hAnsi="Arial"/>
          <w:sz w:val="24"/>
          <w:szCs w:val="24"/>
        </w:rPr>
        <w:t xml:space="preserve">Наряду с этим, требования </w:t>
      </w:r>
      <w:r>
        <w:rPr>
          <w:rFonts w:ascii="Arial" w:cs="Arial" w:eastAsia="Arial" w:hAnsi="Arial"/>
          <w:sz w:val="24"/>
          <w:szCs w:val="24"/>
        </w:rPr>
        <w:t xml:space="preserve">статьи 23</w:t>
      </w:r>
      <w:r>
        <w:rPr>
          <w:rFonts w:ascii="Arial" w:cs="Arial" w:eastAsia="Arial" w:hAnsi="Arial"/>
          <w:sz w:val="24"/>
          <w:szCs w:val="24"/>
        </w:rPr>
        <w:t xml:space="preserve"> </w:t>
      </w:r>
      <w:hyperlink w:history="1" r:id="rIdan8xqrdzy_vxz8gwwh-zb">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распространяются и на кандидатов в депутаты Жогорку Кенеша Кыргызской Республики, порядок их выдвижения и регистрации установлен статьями </w:t>
      </w:r>
      <w:r>
        <w:rPr>
          <w:rFonts w:ascii="Arial" w:cs="Arial" w:eastAsia="Arial" w:hAnsi="Arial"/>
          <w:sz w:val="24"/>
          <w:szCs w:val="24"/>
        </w:rPr>
        <w:t xml:space="preserve">60</w:t>
      </w:r>
      <w:r>
        <w:rPr>
          <w:rFonts w:ascii="Arial" w:cs="Arial" w:eastAsia="Arial" w:hAnsi="Arial"/>
          <w:sz w:val="24"/>
          <w:szCs w:val="24"/>
        </w:rPr>
        <w:t xml:space="preserve"> и </w:t>
      </w:r>
      <w:r>
        <w:rPr>
          <w:rFonts w:ascii="Arial" w:cs="Arial" w:eastAsia="Arial" w:hAnsi="Arial"/>
          <w:sz w:val="24"/>
          <w:szCs w:val="24"/>
        </w:rPr>
        <w:t xml:space="preserve">61</w:t>
      </w:r>
      <w:r>
        <w:rPr>
          <w:rFonts w:ascii="Arial" w:cs="Arial" w:eastAsia="Arial" w:hAnsi="Arial"/>
          <w:sz w:val="24"/>
          <w:szCs w:val="24"/>
        </w:rPr>
        <w:t xml:space="preserve"> указанного </w:t>
      </w:r>
      <w:hyperlink w:history="1" r:id="rIdr87vgqk6f3ocxh80wr4jq">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Кроме того, в случае наличия оснований, предусмотренных статьями </w:t>
      </w:r>
      <w:r>
        <w:rPr>
          <w:rFonts w:ascii="Arial" w:cs="Arial" w:eastAsia="Arial" w:hAnsi="Arial"/>
          <w:sz w:val="24"/>
          <w:szCs w:val="24"/>
        </w:rPr>
        <w:t xml:space="preserve">53</w:t>
      </w:r>
      <w:r>
        <w:rPr>
          <w:rFonts w:ascii="Arial" w:cs="Arial" w:eastAsia="Arial" w:hAnsi="Arial"/>
          <w:sz w:val="24"/>
          <w:szCs w:val="24"/>
        </w:rPr>
        <w:t xml:space="preserve"> и </w:t>
      </w:r>
      <w:r>
        <w:rPr>
          <w:rFonts w:ascii="Arial" w:cs="Arial" w:eastAsia="Arial" w:hAnsi="Arial"/>
          <w:sz w:val="24"/>
          <w:szCs w:val="24"/>
        </w:rPr>
        <w:t xml:space="preserve">61</w:t>
      </w:r>
      <w:r>
        <w:rPr>
          <w:rFonts w:ascii="Arial" w:cs="Arial" w:eastAsia="Arial" w:hAnsi="Arial"/>
          <w:sz w:val="24"/>
          <w:szCs w:val="24"/>
        </w:rPr>
        <w:t xml:space="preserve"> </w:t>
      </w:r>
      <w:hyperlink w:history="1" r:id="rIdh_m9mheyf3dulav_iqkqx">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может быть отказано в регистрации кандидата, списка кандидатов, при этом они понесут неоправданные расходы, затраченные на агитацию.</w:t>
      </w:r>
    </w:p>
    <w:p>
      <w:pPr>
        <w:spacing w:after="60"/>
        <w:ind w:firstLine="567"/>
        <w:jc w:val="both"/>
      </w:pPr>
      <w:r>
        <w:rPr>
          <w:rFonts w:ascii="Arial" w:cs="Arial" w:eastAsia="Arial" w:hAnsi="Arial"/>
          <w:sz w:val="24"/>
          <w:szCs w:val="24"/>
        </w:rPr>
        <w:t xml:space="preserve">Также, выдвижение кандидата, списка кандидатов может производиться в разные дни и соответственно предложение о предвыборной агитации с момента их выдвижения создаст неравные условия в длительности сроков проведения такой агитации.</w:t>
      </w:r>
    </w:p>
    <w:p>
      <w:pPr>
        <w:spacing w:after="60"/>
        <w:ind w:firstLine="567"/>
        <w:jc w:val="both"/>
      </w:pPr>
      <w:r>
        <w:rPr>
          <w:rFonts w:ascii="Arial" w:cs="Arial" w:eastAsia="Arial" w:hAnsi="Arial"/>
          <w:sz w:val="24"/>
          <w:szCs w:val="24"/>
        </w:rPr>
        <w:t xml:space="preserve">С учетом изложенного отмечаем, что введение нормы о начале предвыборной агитации с момента выдвижения в кандидаты является нецелесообразным. Действующая редакция части 1 </w:t>
      </w:r>
      <w:r>
        <w:rPr>
          <w:rFonts w:ascii="Arial" w:cs="Arial" w:eastAsia="Arial" w:hAnsi="Arial"/>
          <w:sz w:val="24"/>
          <w:szCs w:val="24"/>
        </w:rPr>
        <w:t xml:space="preserve">статьи 23</w:t>
      </w:r>
      <w:r>
        <w:rPr>
          <w:rFonts w:ascii="Arial" w:cs="Arial" w:eastAsia="Arial" w:hAnsi="Arial"/>
          <w:sz w:val="24"/>
          <w:szCs w:val="24"/>
        </w:rPr>
        <w:t xml:space="preserve"> </w:t>
      </w:r>
      <w:hyperlink w:history="1" r:id="rIdc5kv4mmlal13wondymjy3">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начале срока предвыборной агитации со дня окончания регистрации кандидатов обеспечивает равенство их возможностей.</w:t>
      </w:r>
    </w:p>
    <w:p>
      <w:pPr>
        <w:spacing w:after="60"/>
        <w:ind w:firstLine="567"/>
        <w:jc w:val="both"/>
      </w:pPr>
      <w:r>
        <w:rPr>
          <w:rFonts w:ascii="Arial" w:cs="Arial" w:eastAsia="Arial" w:hAnsi="Arial"/>
          <w:sz w:val="24"/>
          <w:szCs w:val="24"/>
        </w:rPr>
        <w:t xml:space="preserve">5. Подпунктом "а" пункта 3 статьи 1 проекта Закона предлагается, что общий объем выделяемого бесплатного эфирного времени будет составлять 120 минут, умноженных соответственно на количество зарегистрированных кандидатов, политических партий, выдвинувших список кандидатов.</w:t>
      </w:r>
    </w:p>
    <w:p>
      <w:pPr>
        <w:spacing w:after="60"/>
        <w:ind w:firstLine="567"/>
        <w:jc w:val="both"/>
      </w:pPr>
      <w:r>
        <w:rPr>
          <w:rFonts w:ascii="Arial" w:cs="Arial" w:eastAsia="Arial" w:hAnsi="Arial"/>
          <w:sz w:val="24"/>
          <w:szCs w:val="24"/>
        </w:rPr>
        <w:t xml:space="preserve">При этом, по мнению ЦИК, действующая норма, согласно которой установлено предоставление не менее одного часа бесплатного эфирного времени, выделяемого государственной телерадиоорганизацией для проведения агитации на выборах, определяет формат мероприятий (не фрагментированные мероприятия), как правило, с участием нескольких кандидатов. В этой связи ЦИК считает, что действующий порядок и объем предоставления бесплатного эфирного времени являются достаточными.</w:t>
      </w:r>
    </w:p>
    <w:p>
      <w:pPr>
        <w:spacing w:after="60"/>
        <w:ind w:firstLine="567"/>
        <w:jc w:val="both"/>
      </w:pPr>
      <w:r>
        <w:rPr>
          <w:rFonts w:ascii="Arial" w:cs="Arial" w:eastAsia="Arial" w:hAnsi="Arial"/>
          <w:sz w:val="24"/>
          <w:szCs w:val="24"/>
        </w:rPr>
        <w:t xml:space="preserve">6. Согласно подпункту "в" пункта 3 статьи 1 проекта Закона, предусматривается дополнить часть 8 </w:t>
      </w:r>
      <w:r>
        <w:rPr>
          <w:rFonts w:ascii="Arial" w:cs="Arial" w:eastAsia="Arial" w:hAnsi="Arial"/>
          <w:sz w:val="24"/>
          <w:szCs w:val="24"/>
        </w:rPr>
        <w:t xml:space="preserve">статьи 24</w:t>
      </w:r>
      <w:r>
        <w:rPr>
          <w:rFonts w:ascii="Arial" w:cs="Arial" w:eastAsia="Arial" w:hAnsi="Arial"/>
          <w:sz w:val="24"/>
          <w:szCs w:val="24"/>
        </w:rPr>
        <w:t xml:space="preserve"> </w:t>
      </w:r>
      <w:hyperlink w:history="1" r:id="rIdffcfwngfku7w3y1uvx3oo">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положением об утверждении ЦИК тематики проведения совместных мероприятий. В соответствии с частью 14 </w:t>
      </w:r>
      <w:r>
        <w:rPr>
          <w:rFonts w:ascii="Arial" w:cs="Arial" w:eastAsia="Arial" w:hAnsi="Arial"/>
          <w:sz w:val="24"/>
          <w:szCs w:val="24"/>
        </w:rPr>
        <w:t xml:space="preserve">статьи 22</w:t>
      </w:r>
      <w:r>
        <w:rPr>
          <w:rFonts w:ascii="Arial" w:cs="Arial" w:eastAsia="Arial" w:hAnsi="Arial"/>
          <w:sz w:val="24"/>
          <w:szCs w:val="24"/>
        </w:rPr>
        <w:t xml:space="preserve"> </w:t>
      </w:r>
      <w:hyperlink w:history="1" r:id="rIdmzpscx0jroo9ocjoww4we">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кандидат, политические партии вправе самостоятельно определять форму и характер своей агитации через средства массовой информации. В этой связи ЦИК полагает целесообразным оставить действующий порядок определения тематики проводимых агитационных мероприятий телерадиоорганизациями совместно с кандидатами.</w:t>
      </w:r>
    </w:p>
    <w:p>
      <w:pPr>
        <w:spacing w:after="60"/>
        <w:ind w:firstLine="567"/>
        <w:jc w:val="both"/>
      </w:pPr>
      <w:r>
        <w:rPr>
          <w:rFonts w:ascii="Arial" w:cs="Arial" w:eastAsia="Arial" w:hAnsi="Arial"/>
          <w:sz w:val="24"/>
          <w:szCs w:val="24"/>
        </w:rPr>
        <w:t xml:space="preserve">Тематика проведения совместных мероприятий должна определяться без вмешательства ЦИК.</w:t>
      </w:r>
    </w:p>
    <w:p>
      <w:pPr>
        <w:spacing w:after="60"/>
        <w:ind w:firstLine="567"/>
        <w:jc w:val="both"/>
      </w:pPr>
      <w:r>
        <w:rPr>
          <w:rFonts w:ascii="Arial" w:cs="Arial" w:eastAsia="Arial" w:hAnsi="Arial"/>
          <w:sz w:val="24"/>
          <w:szCs w:val="24"/>
        </w:rPr>
        <w:t xml:space="preserve">7. Частью 4 статьи 27 проекта Закона предлагается установить запрет на размещение агитационных материалов на столбах, остановках, памятниках, обелисках, в зданиях (за исключением предвыборных штабов) и сооружениях, в помещениях избирательных комиссий, у входа в них и в помещениях для голосования. ЦИК предлагает исключить предлагаемые изменения в проекте Закона, поскольку искажается смысл нормы. Также необходимо отметить, что действующий запрет не затрагивает предвыборные штабы и сооружения.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k0-3ydm814npsupnjgon">
      <w:r>
        <w:rPr>
          <w:rFonts w:ascii="Arial" w:cs="Arial" w:eastAsia="Arial" w:hAnsi="Arial"/>
          <w:color w:val="132D3F"/>
          <w:sz w:val="16"/>
          <w:szCs w:val="16"/>
          <w:u w:val="single"/>
        </w:rPr>
        <w:t xml:space="preserve">dalil.kg/document/14300</w:t>
      </w:r>
    </w:hyperlink>
  </w:p>
  <w:p>
    <w:pPr>
      <w:spacing w:after="0" w:before="40"/>
      <w:jc w:val="center"/>
    </w:pPr>
    <w:hyperlink w:history="1" r:id="rId7oopm9itorggfabgat9r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cq7oc4heuxdvkcuyxhga" Type="http://schemas.openxmlformats.org/officeDocument/2006/relationships/hyperlink" Target="https://dalil.kg/document/203685" TargetMode="External"/><Relationship Id="rIdjnlfhoyty8knk9dtu4dxk" Type="http://schemas.openxmlformats.org/officeDocument/2006/relationships/hyperlink" Target="https://dalil.kg/document/14300#p1" TargetMode="External"/><Relationship Id="rIdlyzc3lpe4phfbybkfljen" Type="http://schemas.openxmlformats.org/officeDocument/2006/relationships/hyperlink" Target="https://dalil.kg/document/203244" TargetMode="External"/><Relationship Id="rIdyipkiqvsfwimnehyles3l" Type="http://schemas.openxmlformats.org/officeDocument/2006/relationships/hyperlink" Target="https://dalil.kg/document/203685" TargetMode="External"/><Relationship Id="rIdge19eqhploi2uxkxl8oqs" Type="http://schemas.openxmlformats.org/officeDocument/2006/relationships/hyperlink" Target="https://dalil.kg/document/203244" TargetMode="External"/><Relationship Id="rId9tn7no-nybttzjwfiqw3n" Type="http://schemas.openxmlformats.org/officeDocument/2006/relationships/hyperlink" Target="https://dalil.kg/document/203244" TargetMode="External"/><Relationship Id="rIdfvxw-jxuokqa_qrowvwrk" Type="http://schemas.openxmlformats.org/officeDocument/2006/relationships/hyperlink" Target="https://dalil.kg/document/203244" TargetMode="External"/><Relationship Id="rIda3g_zkx3hvb3tqvgauceb" Type="http://schemas.openxmlformats.org/officeDocument/2006/relationships/hyperlink" Target="https://dalil.kg/document/202913" TargetMode="External"/><Relationship Id="rIdmmdfywgb0dtehqogg33js" Type="http://schemas.openxmlformats.org/officeDocument/2006/relationships/hyperlink" Target="https://dalil.kg/document/203244" TargetMode="External"/><Relationship Id="rId712g-pgpaa9dxvielfdhb" Type="http://schemas.openxmlformats.org/officeDocument/2006/relationships/hyperlink" Target="https://dalil.kg/document/203244" TargetMode="External"/><Relationship Id="rIdjlqvq5hf48t2p-cvbzu5o" Type="http://schemas.openxmlformats.org/officeDocument/2006/relationships/hyperlink" Target="https://dalil.kg/document/203102" TargetMode="External"/><Relationship Id="rIdvkcvebmezscdxdorjmrz_" Type="http://schemas.openxmlformats.org/officeDocument/2006/relationships/hyperlink" Target="https://dalil.kg/document/203102" TargetMode="External"/><Relationship Id="rIde3mqlfcir_0rwqtovfzzg" Type="http://schemas.openxmlformats.org/officeDocument/2006/relationships/hyperlink" Target="https://dalil.kg/document/203244" TargetMode="External"/><Relationship Id="rIdqcok6z0rujgpqwzcnhypj" Type="http://schemas.openxmlformats.org/officeDocument/2006/relationships/hyperlink" Target="https://dalil.kg/document/203244" TargetMode="External"/><Relationship Id="rIdky94hoakd4pwchw--eeu3" Type="http://schemas.openxmlformats.org/officeDocument/2006/relationships/hyperlink" Target="https://dalil.kg/document/203244" TargetMode="External"/><Relationship Id="rIdr9ct2kbrnizqnzafrqgw_" Type="http://schemas.openxmlformats.org/officeDocument/2006/relationships/hyperlink" Target="https://dalil.kg/document/203244" TargetMode="External"/><Relationship Id="rIdan8xqrdzy_vxz8gwwh-zb" Type="http://schemas.openxmlformats.org/officeDocument/2006/relationships/hyperlink" Target="https://dalil.kg/document/203244" TargetMode="External"/><Relationship Id="rIdr87vgqk6f3ocxh80wr4jq" Type="http://schemas.openxmlformats.org/officeDocument/2006/relationships/hyperlink" Target="https://dalil.kg/document/203244" TargetMode="External"/><Relationship Id="rIdh_m9mheyf3dulav_iqkqx" Type="http://schemas.openxmlformats.org/officeDocument/2006/relationships/hyperlink" Target="https://dalil.kg/document/203244" TargetMode="External"/><Relationship Id="rIdc5kv4mmlal13wondymjy3" Type="http://schemas.openxmlformats.org/officeDocument/2006/relationships/hyperlink" Target="https://dalil.kg/document/203244" TargetMode="External"/><Relationship Id="rIdffcfwngfku7w3y1uvx3oo" Type="http://schemas.openxmlformats.org/officeDocument/2006/relationships/hyperlink" Target="https://dalil.kg/document/203244" TargetMode="External"/><Relationship Id="rIdmzpscx0jroo9ocjoww4we" Type="http://schemas.openxmlformats.org/officeDocument/2006/relationships/hyperlink" Target="https://dalil.kg/document/203244"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k0-3ydm814npsupnjgon" Type="http://schemas.openxmlformats.org/officeDocument/2006/relationships/hyperlink" Target="https://dalil.kg/document/14300" TargetMode="External"/><Relationship Id="rId7oopm9itorggfabgat9r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2026-10-01T17:53:17.792Z</dcterms:created>
  <dcterms:modified xsi:type="dcterms:W3CDTF">2026-10-01T17:53:17.792Z</dcterms:modified>
</cp:coreProperties>
</file>

<file path=docProps/custom.xml><?xml version="1.0" encoding="utf-8"?>
<Properties xmlns="http://schemas.openxmlformats.org/officeDocument/2006/custom-properties" xmlns:vt="http://schemas.openxmlformats.org/officeDocument/2006/docPropsVTypes"/>
</file>