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jtpmdxfgmrzfo6vhxfls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27 июня 2019 года № 321)</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по созданию и развитию торгово-логистических центров сельскохозяйственной продукции в Кыргызской Республике на 2019-2023 годы</w:t>
      </w:r>
    </w:p>
    <w:p>
      <w:pPr>
        <w:spacing w:after="200" w:before="200"/>
        <w:jc w:val="center"/>
      </w:pPr>
      <w:r>
        <w:rPr>
          <w:rFonts w:ascii="Arial" w:cs="Arial" w:eastAsia="Arial" w:hAnsi="Arial"/>
          <w:b/>
          <w:bCs/>
          <w:sz w:val="24"/>
          <w:szCs w:val="24"/>
        </w:rPr>
        <w:t xml:space="preserve">1. Введение, цели и задачи</w:t>
      </w:r>
    </w:p>
    <w:p>
      <w:pPr>
        <w:spacing w:after="60"/>
        <w:ind w:firstLine="567"/>
        <w:jc w:val="both"/>
      </w:pPr>
      <w:r>
        <w:rPr>
          <w:rFonts w:ascii="Arial" w:cs="Arial" w:eastAsia="Arial" w:hAnsi="Arial"/>
          <w:sz w:val="24"/>
          <w:szCs w:val="24"/>
        </w:rPr>
        <w:t xml:space="preserve">Сельское хозяйство - отрасль экономики, обеспечивающая продовольственную безопасность страны и неразрывно связанная с региональным развитием. В этой связи рост сельскохозяйственного производства, улучшение качества сельскохозяйственной продукции, создание системы переработки, хранения и реализации сельскохозяйственной продукции являются приоритетами данной отрасли.</w:t>
      </w:r>
    </w:p>
    <w:p>
      <w:pPr>
        <w:spacing w:after="60"/>
        <w:ind w:firstLine="567"/>
        <w:jc w:val="both"/>
      </w:pPr>
      <w:r>
        <w:rPr>
          <w:rFonts w:ascii="Arial" w:cs="Arial" w:eastAsia="Arial" w:hAnsi="Arial"/>
          <w:sz w:val="24"/>
          <w:szCs w:val="24"/>
        </w:rPr>
        <w:t xml:space="preserve">В настоящее время в сельском хозяйстве существует ряд проблем, сдерживающих развитие агромаркетинга и продвижение (неконкурентоспособность) отечественной сельскохозяйственной продукции на внутренних и внешних рынках, таких как отсутствие современных овощехранилищ и фруктохранилищ (далее - хранилища), уменьшение объемов производства и переработки сельскохозяйственной продукции.</w:t>
      </w:r>
    </w:p>
    <w:p>
      <w:pPr>
        <w:spacing w:after="60"/>
        <w:ind w:firstLine="567"/>
        <w:jc w:val="both"/>
      </w:pPr>
      <w:r>
        <w:rPr>
          <w:rFonts w:ascii="Arial" w:cs="Arial" w:eastAsia="Arial" w:hAnsi="Arial"/>
          <w:sz w:val="24"/>
          <w:szCs w:val="24"/>
        </w:rPr>
        <w:t xml:space="preserve">Многие фермерские хозяйства основной объем выращенного урожая закладывают в хранилища, для реализации его весной будущего года по более выгодной цене. Хранение сельскохозяйственной продукции в неприспособленных помещениях ведет к убыткам и дополнительным затратам, связанным с порчей части сельскохозяйственной продукции, необходимости ее повторной переработки и расфасовки в соответствующие тарные емкости.</w:t>
      </w:r>
    </w:p>
    <w:p>
      <w:pPr>
        <w:spacing w:after="60"/>
        <w:ind w:firstLine="567"/>
        <w:jc w:val="both"/>
      </w:pPr>
      <w:r>
        <w:rPr>
          <w:rFonts w:ascii="Arial" w:cs="Arial" w:eastAsia="Arial" w:hAnsi="Arial"/>
          <w:sz w:val="24"/>
          <w:szCs w:val="24"/>
        </w:rPr>
        <w:t xml:space="preserve">Следует отметить, что ранее, в целях развития рынка сельскохозяйственной продукции и увеличения экспортного потенциала, в частности для обеспечения продовольственной безопасности, роста доходов сельского населения от экспорта сельскохозяйственной продукции, организации конкурентоспособного агропромышленного сектора с передовыми технологиями, отвечающего международным стандартам, </w:t>
      </w:r>
      <w:hyperlink w:history="1" r:id="rIdg6karazmwwwbb1oqnfjs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2015 года № 600 были утверждены Основные направления создания и развития системы торгово-логистических центров (далее - ТЛЦ) сельскохозяйственной продукции в Кыргызской Республике на 2015-2017 годы (утратило силу в соответствии с </w:t>
      </w:r>
      <w:hyperlink w:history="1" r:id="rIdmaiyz6gjvroidw8r5sqb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2018 года № 291).</w:t>
      </w:r>
    </w:p>
    <w:p>
      <w:pPr>
        <w:spacing w:after="60"/>
        <w:ind w:firstLine="567"/>
        <w:jc w:val="both"/>
      </w:pPr>
      <w:r>
        <w:rPr>
          <w:rFonts w:ascii="Arial" w:cs="Arial" w:eastAsia="Arial" w:hAnsi="Arial"/>
          <w:sz w:val="24"/>
          <w:szCs w:val="24"/>
        </w:rPr>
        <w:t xml:space="preserve">Ранее, в целях реализации вышеуказанного </w:t>
      </w:r>
      <w:hyperlink w:history="1" r:id="rIdnoxin8t7tdln0f7_fn82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был утвержден План мероприятий по созданию и развитию системы ТЛЦ в Кыргызской Республике на 2016-2017 годы </w:t>
      </w:r>
      <w:hyperlink w:history="1" r:id="rIdx4lhxa6ys0eljlkozbug0">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 августа 2016 года № 353-р.</w:t>
      </w:r>
    </w:p>
    <w:p>
      <w:pPr>
        <w:spacing w:after="60"/>
        <w:ind w:firstLine="567"/>
        <w:jc w:val="both"/>
      </w:pPr>
      <w:r>
        <w:rPr>
          <w:rFonts w:ascii="Arial" w:cs="Arial" w:eastAsia="Arial" w:hAnsi="Arial"/>
          <w:sz w:val="24"/>
          <w:szCs w:val="24"/>
        </w:rPr>
        <w:t xml:space="preserve">Во исполнение указанных решений Правительства Кыргызской Республики была проделана определенная работа, и за период с 2016 по 2017 годы по республике в эксплуатацию введены 5 ТЛЦ и 96 хранилищ. Вместе с тем вышеуказанный План мероприятий был реализован частично.</w:t>
      </w:r>
    </w:p>
    <w:p>
      <w:pPr>
        <w:spacing w:after="60"/>
        <w:ind w:firstLine="567"/>
        <w:jc w:val="both"/>
      </w:pPr>
      <w:r>
        <w:rPr>
          <w:rFonts w:ascii="Arial" w:cs="Arial" w:eastAsia="Arial" w:hAnsi="Arial"/>
          <w:sz w:val="24"/>
          <w:szCs w:val="24"/>
        </w:rPr>
        <w:t xml:space="preserve">Причиной частичного исполнения вышеуказанного Плана мероприятий послужило то, что сроки строительства ТЛЦ (в среднем от одного до трех лет) зависят от размера капитала (финансовые средства), инвестиций, юридической документации, наличия земельного участка и т.д. Кроме того, в рамках указанного Плана мероприятий было запланировано развитие человеческих ресурсов, подготовка квалифицированных кадров по работе в ТЛЦ, привлечение инвесторов, строительство лабораторий подкарантинной продукции и т.д.</w:t>
      </w:r>
    </w:p>
    <w:p>
      <w:pPr>
        <w:spacing w:after="60"/>
        <w:ind w:firstLine="567"/>
        <w:jc w:val="both"/>
      </w:pPr>
      <w:r>
        <w:rPr>
          <w:rFonts w:ascii="Arial" w:cs="Arial" w:eastAsia="Arial" w:hAnsi="Arial"/>
          <w:sz w:val="24"/>
          <w:szCs w:val="24"/>
        </w:rPr>
        <w:t xml:space="preserve">В этой связи, с учетом выявленных недостатков, возникла необходимость разработки новой государственной программы на пятилетний период.</w:t>
      </w:r>
    </w:p>
    <w:p>
      <w:pPr>
        <w:spacing w:after="60"/>
        <w:ind w:firstLine="567"/>
        <w:jc w:val="both"/>
      </w:pPr>
      <w:r>
        <w:rPr>
          <w:rFonts w:ascii="Arial" w:cs="Arial" w:eastAsia="Arial" w:hAnsi="Arial"/>
          <w:sz w:val="24"/>
          <w:szCs w:val="24"/>
        </w:rPr>
        <w:t xml:space="preserve">Настоящая Программа разработана в целях реализации </w:t>
      </w:r>
      <w:hyperlink w:history="1" r:id="rIdtwe_esaetrl1_cdaz6sa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объявлении 2019 года Годом развития регионов и цифровизации страны" от 11 января 2019 года № 1 и пункта 30.2 Плана действий Правительства Кыргызской Республики на 2019 год по исполнению Плана Правительства Кыргызской Республики на 2019-2023 годы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деятельности Правительства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(1).</w:t>
      </w:r>
    </w:p>
    <w:p>
      <w:pPr>
        <w:spacing w:after="60"/>
        <w:ind w:firstLine="567"/>
        <w:jc w:val="both"/>
      </w:pPr>
      <w:r>
        <w:rPr>
          <w:rFonts w:ascii="Arial" w:cs="Arial" w:eastAsia="Arial" w:hAnsi="Arial"/>
          <w:sz w:val="24"/>
          <w:szCs w:val="24"/>
        </w:rPr>
        <w:t xml:space="preserve">Целью настоящей Программы также является обеспечение благоприятных условий для производителей сельскохозяйственной продукции, путем повышения их конкурентоспособности и увеличения экспортного потенциала Кыргызской Республики.</w:t>
      </w:r>
    </w:p>
    <w:p>
      <w:pPr>
        <w:spacing w:after="60"/>
        <w:ind w:firstLine="567"/>
        <w:jc w:val="both"/>
      </w:pPr>
      <w:r>
        <w:rPr>
          <w:rFonts w:ascii="Arial" w:cs="Arial" w:eastAsia="Arial" w:hAnsi="Arial"/>
          <w:sz w:val="24"/>
          <w:szCs w:val="24"/>
        </w:rPr>
        <w:t xml:space="preserve">Для достижения поставленных целей необходимо:</w:t>
      </w:r>
    </w:p>
    <w:p>
      <w:pPr>
        <w:spacing w:after="60"/>
        <w:ind w:firstLine="567"/>
        <w:jc w:val="both"/>
      </w:pPr>
      <w:r>
        <w:rPr>
          <w:rFonts w:ascii="Arial" w:cs="Arial" w:eastAsia="Arial" w:hAnsi="Arial"/>
          <w:sz w:val="24"/>
          <w:szCs w:val="24"/>
        </w:rPr>
        <w:t xml:space="preserve">- создание новых ТЛЦ, внедрение новых технологий, реконструкция и модернизация хранилищ в регионах;</w:t>
      </w:r>
    </w:p>
    <w:p>
      <w:pPr>
        <w:spacing w:after="60"/>
        <w:ind w:firstLine="567"/>
        <w:jc w:val="both"/>
      </w:pPr>
      <w:r>
        <w:rPr>
          <w:rFonts w:ascii="Arial" w:cs="Arial" w:eastAsia="Arial" w:hAnsi="Arial"/>
          <w:sz w:val="24"/>
          <w:szCs w:val="24"/>
        </w:rPr>
        <w:t xml:space="preserve">- совершенствование нормативных правовых актов и механизма финансово-кредитной поддержки;</w:t>
      </w:r>
    </w:p>
    <w:p>
      <w:pPr>
        <w:spacing w:after="60"/>
        <w:ind w:firstLine="567"/>
        <w:jc w:val="both"/>
      </w:pPr>
      <w:r>
        <w:rPr>
          <w:rFonts w:ascii="Arial" w:cs="Arial" w:eastAsia="Arial" w:hAnsi="Arial"/>
          <w:sz w:val="24"/>
          <w:szCs w:val="24"/>
        </w:rPr>
        <w:t xml:space="preserve">- создание и улучшение работы лабораторий по карантину растений, обеспечение их необходимыми техническими ресурсами;</w:t>
      </w:r>
    </w:p>
    <w:p>
      <w:pPr>
        <w:spacing w:after="60"/>
        <w:ind w:firstLine="567"/>
        <w:jc w:val="both"/>
      </w:pPr>
      <w:r>
        <w:rPr>
          <w:rFonts w:ascii="Arial" w:cs="Arial" w:eastAsia="Arial" w:hAnsi="Arial"/>
          <w:sz w:val="24"/>
          <w:szCs w:val="24"/>
        </w:rPr>
        <w:t xml:space="preserve">- увеличение хранилищ, отвечающих международным стандартам качества, а также объемов их производства и переработки;</w:t>
      </w:r>
    </w:p>
    <w:p>
      <w:pPr>
        <w:spacing w:after="60"/>
        <w:ind w:firstLine="567"/>
        <w:jc w:val="both"/>
      </w:pPr>
      <w:r>
        <w:rPr>
          <w:rFonts w:ascii="Arial" w:cs="Arial" w:eastAsia="Arial" w:hAnsi="Arial"/>
          <w:sz w:val="24"/>
          <w:szCs w:val="24"/>
        </w:rPr>
        <w:t xml:space="preserve">- привлечение инвестиций и развитие человеческих ресурсов для управления ТЛЦ, подготовка специалистов в сфере производства, хранения, переработки и распределения сельскохозяйственной продукции.</w:t>
      </w:r>
    </w:p>
    <w:p>
      <w:pPr>
        <w:spacing w:after="60"/>
        <w:ind w:firstLine="567"/>
        <w:jc w:val="both"/>
      </w:pPr>
      <w:r>
        <w:rPr>
          <w:rFonts w:ascii="Arial" w:cs="Arial" w:eastAsia="Arial" w:hAnsi="Arial"/>
          <w:sz w:val="24"/>
          <w:szCs w:val="24"/>
        </w:rPr>
        <w:t xml:space="preserve">Реализация настоящей Программы обеспечит:</w:t>
      </w:r>
    </w:p>
    <w:p>
      <w:pPr>
        <w:spacing w:after="60"/>
        <w:ind w:firstLine="567"/>
        <w:jc w:val="both"/>
      </w:pPr>
      <w:r>
        <w:rPr>
          <w:rFonts w:ascii="Arial" w:cs="Arial" w:eastAsia="Arial" w:hAnsi="Arial"/>
          <w:sz w:val="24"/>
          <w:szCs w:val="24"/>
        </w:rPr>
        <w:t xml:space="preserve">- повышение конкурентоспособности отечественных товаров;</w:t>
      </w:r>
    </w:p>
    <w:p>
      <w:pPr>
        <w:spacing w:after="60"/>
        <w:ind w:firstLine="567"/>
        <w:jc w:val="both"/>
      </w:pPr>
      <w:r>
        <w:rPr>
          <w:rFonts w:ascii="Arial" w:cs="Arial" w:eastAsia="Arial" w:hAnsi="Arial"/>
          <w:sz w:val="24"/>
          <w:szCs w:val="24"/>
        </w:rPr>
        <w:t xml:space="preserve">- развитие и рост круглогодичного производства, хранение сельскохозяйственной продукции растениеводства (теплицы и оранжереи);</w:t>
      </w:r>
    </w:p>
    <w:p>
      <w:pPr>
        <w:spacing w:after="60"/>
        <w:ind w:firstLine="567"/>
        <w:jc w:val="both"/>
      </w:pPr>
      <w:r>
        <w:rPr>
          <w:rFonts w:ascii="Arial" w:cs="Arial" w:eastAsia="Arial" w:hAnsi="Arial"/>
          <w:sz w:val="24"/>
          <w:szCs w:val="24"/>
        </w:rPr>
        <w:t xml:space="preserve">- расширение объемов поставок сельскохозяйственной продукции и продуктов ее переработки на внутренний и внешние рынки;</w:t>
      </w:r>
    </w:p>
    <w:p>
      <w:pPr>
        <w:spacing w:after="60"/>
        <w:ind w:firstLine="567"/>
        <w:jc w:val="both"/>
      </w:pPr>
      <w:r>
        <w:rPr>
          <w:rFonts w:ascii="Arial" w:cs="Arial" w:eastAsia="Arial" w:hAnsi="Arial"/>
          <w:sz w:val="24"/>
          <w:szCs w:val="24"/>
        </w:rPr>
        <w:t xml:space="preserve">- повышение доходов и уровня занятости сельского населения, сохранение и создание новых высокотехнологичных рабочих мест.</w:t>
      </w:r>
    </w:p>
    <w:p>
      <w:pPr>
        <w:spacing w:after="60"/>
        <w:ind w:firstLine="567"/>
        <w:jc w:val="both"/>
      </w:pPr>
      <w:r>
        <w:rPr>
          <w:rFonts w:ascii="Arial" w:cs="Arial" w:eastAsia="Arial" w:hAnsi="Arial"/>
          <w:sz w:val="24"/>
          <w:szCs w:val="24"/>
        </w:rPr>
        <w:t xml:space="preserve">Таким образом, настоящая Программа позволит удовлетворить потребности в сельскохозяйственной продукции внутреннего рынка и развитии экспорта на внешние рынки.</w:t>
      </w:r>
    </w:p>
    <w:p>
      <w:pPr>
        <w:spacing w:after="200" w:before="200"/>
        <w:jc w:val="center"/>
      </w:pPr>
      <w:r>
        <w:rPr>
          <w:rFonts w:ascii="Arial" w:cs="Arial" w:eastAsia="Arial" w:hAnsi="Arial"/>
          <w:b/>
          <w:bCs/>
          <w:sz w:val="24"/>
          <w:szCs w:val="24"/>
        </w:rPr>
        <w:t xml:space="preserve">2. Анализ текущей ситуации и проблемы</w:t>
      </w:r>
    </w:p>
    <w:p>
      <w:pPr>
        <w:spacing w:after="60"/>
        <w:ind w:firstLine="567"/>
        <w:jc w:val="both"/>
      </w:pPr>
      <w:r>
        <w:rPr>
          <w:rFonts w:ascii="Arial" w:cs="Arial" w:eastAsia="Arial" w:hAnsi="Arial"/>
          <w:sz w:val="24"/>
          <w:szCs w:val="24"/>
        </w:rPr>
        <w:t xml:space="preserve">В 2018 году, в целом по республике произведено валовой продукции сельского хозяйства в текущих ценах на сумму 203,8 млрд. сомов, удельный вес в ВВП составлял более 12%.</w:t>
      </w:r>
    </w:p>
    <w:p>
      <w:pPr>
        <w:spacing w:after="60"/>
        <w:ind w:firstLine="567"/>
        <w:jc w:val="both"/>
      </w:pPr>
      <w:r>
        <w:rPr>
          <w:rFonts w:ascii="Arial" w:cs="Arial" w:eastAsia="Arial" w:hAnsi="Arial"/>
          <w:sz w:val="24"/>
          <w:szCs w:val="24"/>
        </w:rPr>
        <w:t xml:space="preserve">Темп роста уровня производства в 2018 году к уровню роста 2017 года составил 102,7%, в том числе в животноводстве - 102,2% (98340,5 млн. сомов), а в растениеводстве - 103,4% (100366,0 млн. сомов). С 2016 по 2018 годы в Кыргызской Республике введены в строй и функционируют 7 ТЛЦ, в том числе в Чуйской области - 2, Ошской области - 2, Джалал-Абадской области - 1, Иссык-Кульской области - 1, в городе Бишкек - 1.</w:t>
      </w:r>
    </w:p>
    <w:p>
      <w:pPr>
        <w:spacing w:after="60"/>
        <w:ind w:firstLine="567"/>
        <w:jc w:val="both"/>
      </w:pPr>
      <w:r>
        <w:rPr>
          <w:rFonts w:ascii="Arial" w:cs="Arial" w:eastAsia="Arial" w:hAnsi="Arial"/>
          <w:sz w:val="24"/>
          <w:szCs w:val="24"/>
        </w:rPr>
        <w:t xml:space="preserve">Также в настоящее время имеется 217 хранилищ, в том числе по Чуйской области - 108, Ошской области - 14, Иссык-Кульской области - 38, Таласской области - 12, Баткенской области - 26, Нарынской области - 4, Джалал-Абадской области - 15.</w:t>
      </w:r>
    </w:p>
    <w:p>
      <w:pPr>
        <w:spacing w:after="60"/>
        <w:ind w:firstLine="567"/>
        <w:jc w:val="both"/>
      </w:pPr>
      <w:r>
        <w:rPr>
          <w:rFonts w:ascii="Arial" w:cs="Arial" w:eastAsia="Arial" w:hAnsi="Arial"/>
          <w:sz w:val="24"/>
          <w:szCs w:val="24"/>
        </w:rPr>
        <w:t xml:space="preserve">В сезон созревания плодоовощной продукции большинство фермерских хозяйств ориентируются на продажу выращенной сельскохозяйственной продукции экспортным компаниям, которые предъявляют высокие требования к качеству выращенной сельскохозяйственной продукции и осуществляют ее прямые поставки на рынки ближнего и дальнего зарубежья автомобильным, железнодорожным и воздушным транспортом.</w:t>
      </w:r>
    </w:p>
    <w:p>
      <w:pPr>
        <w:spacing w:after="60"/>
        <w:ind w:firstLine="567"/>
        <w:jc w:val="both"/>
      </w:pPr>
      <w:r>
        <w:rPr>
          <w:rFonts w:ascii="Arial" w:cs="Arial" w:eastAsia="Arial" w:hAnsi="Arial"/>
          <w:sz w:val="24"/>
          <w:szCs w:val="24"/>
        </w:rPr>
        <w:t xml:space="preserve">Нерешенной остается проблема справедливого распределения доходов от продаж сельскохозяйственной продукции между производителями сельскохозяйственной продукции, перерабатывающими предприятиями и торгово-посредническими компаниями. При этом фермеры несут значительные потери при реализации своей сельскохозяйственной продукции из-за незнания спроса и предложения на рынке и нехватки хранилищ, и зачастую, сбывают сельскохозяйственную продукцию по минимальным ценам торгово-посредническим компаниям.</w:t>
      </w:r>
    </w:p>
    <w:p>
      <w:pPr>
        <w:spacing w:after="60"/>
        <w:ind w:firstLine="567"/>
        <w:jc w:val="both"/>
      </w:pPr>
      <w:r>
        <w:rPr>
          <w:rFonts w:ascii="Arial" w:cs="Arial" w:eastAsia="Arial" w:hAnsi="Arial"/>
          <w:sz w:val="24"/>
          <w:szCs w:val="24"/>
        </w:rPr>
        <w:t xml:space="preserve">В связи, с чем создание ТЛЦ с применением современных технологий, отвечающих международным стандартам, могло бы решить большую часть имеющихся проблем.</w:t>
      </w:r>
    </w:p>
    <w:p>
      <w:pPr>
        <w:spacing w:after="60"/>
        <w:ind w:firstLine="567"/>
        <w:jc w:val="both"/>
      </w:pPr>
      <w:r>
        <w:rPr>
          <w:rFonts w:ascii="Arial" w:cs="Arial" w:eastAsia="Arial" w:hAnsi="Arial"/>
          <w:sz w:val="24"/>
          <w:szCs w:val="24"/>
        </w:rPr>
        <w:t xml:space="preserve">По данным Регионального центра Организации экономического сотрудничества и развития Продовольственной и сельскохозяйственной организации ООН, потери при хранении и транспортировке сельскохозяйственной продукции в развитых странах составляют 5-6%, в развивающихся странах до - 30%.</w:t>
      </w:r>
    </w:p>
    <w:p>
      <w:pPr>
        <w:spacing w:after="60"/>
        <w:ind w:firstLine="567"/>
        <w:jc w:val="both"/>
      </w:pPr>
      <w:r>
        <w:rPr>
          <w:rFonts w:ascii="Arial" w:cs="Arial" w:eastAsia="Arial" w:hAnsi="Arial"/>
          <w:sz w:val="24"/>
          <w:szCs w:val="24"/>
        </w:rPr>
        <w:t xml:space="preserve">Строительство ТЛЦ позволит снизить затраты сельскохозяйственных производителей, связанные с хранением, распределением и транспортировкой выращенной сельскохозяйственной продукции, в среднем на 15-20%. Следовательно, за счет правильного хранения, оптимального распределения и централизованных процедур таможенного оформления экспорта снизится цена на сельскохозяйственную продукцию.</w:t>
      </w:r>
    </w:p>
    <w:p>
      <w:pPr>
        <w:spacing w:after="60"/>
        <w:ind w:firstLine="567"/>
        <w:jc w:val="both"/>
      </w:pPr>
      <w:r>
        <w:rPr>
          <w:rFonts w:ascii="Arial" w:cs="Arial" w:eastAsia="Arial" w:hAnsi="Arial"/>
          <w:sz w:val="24"/>
          <w:szCs w:val="24"/>
        </w:rPr>
        <w:t xml:space="preserve">Также развитие и строительство ТЛЦ в цепочке ценообразования от производителя до конечного потребителя позволит снизить потери скоропортящейся продукции до 15-20% и позволит повысить уровень качества сельскохозяйственной продукции и решить ряд вопросов, связанных с ее сбытом.</w:t>
      </w:r>
    </w:p>
    <w:p>
      <w:pPr>
        <w:spacing w:after="60"/>
        <w:ind w:firstLine="567"/>
        <w:jc w:val="both"/>
      </w:pPr>
      <w:r>
        <w:rPr>
          <w:rFonts w:ascii="Arial" w:cs="Arial" w:eastAsia="Arial" w:hAnsi="Arial"/>
          <w:sz w:val="24"/>
          <w:szCs w:val="24"/>
        </w:rPr>
        <w:t xml:space="preserve">Основные проблемы сельского хозяйства на текущий момент можно сгруппировать следующим образом:</w:t>
      </w:r>
    </w:p>
    <w:p>
      <w:pPr>
        <w:spacing w:after="60"/>
        <w:ind w:firstLine="567"/>
        <w:jc w:val="both"/>
      </w:pPr>
      <w:r>
        <w:rPr>
          <w:rFonts w:ascii="Arial" w:cs="Arial" w:eastAsia="Arial" w:hAnsi="Arial"/>
          <w:sz w:val="24"/>
          <w:szCs w:val="24"/>
        </w:rPr>
        <w:t xml:space="preserve">- мелкотоварность и слабая конкурентоспособность сельскохозяйственной продукции;</w:t>
      </w:r>
    </w:p>
    <w:p>
      <w:pPr>
        <w:spacing w:after="60"/>
        <w:ind w:firstLine="567"/>
        <w:jc w:val="both"/>
      </w:pPr>
      <w:r>
        <w:rPr>
          <w:rFonts w:ascii="Arial" w:cs="Arial" w:eastAsia="Arial" w:hAnsi="Arial"/>
          <w:sz w:val="24"/>
          <w:szCs w:val="24"/>
        </w:rPr>
        <w:t xml:space="preserve">- отсутствие крупных ТЛЦ;</w:t>
      </w:r>
    </w:p>
    <w:p>
      <w:pPr>
        <w:spacing w:after="60"/>
        <w:ind w:firstLine="567"/>
        <w:jc w:val="both"/>
      </w:pPr>
      <w:r>
        <w:rPr>
          <w:rFonts w:ascii="Arial" w:cs="Arial" w:eastAsia="Arial" w:hAnsi="Arial"/>
          <w:sz w:val="24"/>
          <w:szCs w:val="24"/>
        </w:rPr>
        <w:t xml:space="preserve">- отсутствие необходимого количества ТЛЦ в регионах;</w:t>
      </w:r>
    </w:p>
    <w:p>
      <w:pPr>
        <w:spacing w:after="60"/>
        <w:ind w:firstLine="567"/>
        <w:jc w:val="both"/>
      </w:pPr>
      <w:r>
        <w:rPr>
          <w:rFonts w:ascii="Arial" w:cs="Arial" w:eastAsia="Arial" w:hAnsi="Arial"/>
          <w:sz w:val="24"/>
          <w:szCs w:val="24"/>
        </w:rPr>
        <w:t xml:space="preserve">- трудности при сбыте произведенной сельхозпродукции;</w:t>
      </w:r>
    </w:p>
    <w:p>
      <w:pPr>
        <w:spacing w:after="60"/>
        <w:ind w:firstLine="567"/>
        <w:jc w:val="both"/>
      </w:pPr>
      <w:r>
        <w:rPr>
          <w:rFonts w:ascii="Arial" w:cs="Arial" w:eastAsia="Arial" w:hAnsi="Arial"/>
          <w:sz w:val="24"/>
          <w:szCs w:val="24"/>
        </w:rPr>
        <w:t xml:space="preserve">- отсутствие аккредитованных лабораторий по карантину растений для определения качества сельхозпродукции в ТЛЦ;</w:t>
      </w:r>
    </w:p>
    <w:p>
      <w:pPr>
        <w:spacing w:after="60"/>
        <w:ind w:firstLine="567"/>
        <w:jc w:val="both"/>
      </w:pPr>
      <w:r>
        <w:rPr>
          <w:rFonts w:ascii="Arial" w:cs="Arial" w:eastAsia="Arial" w:hAnsi="Arial"/>
          <w:sz w:val="24"/>
          <w:szCs w:val="24"/>
        </w:rPr>
        <w:t xml:space="preserve">- недостатки в качестве упаковки, калибровки, маркировки и т.д.</w:t>
      </w:r>
    </w:p>
    <w:p>
      <w:pPr>
        <w:spacing w:after="60"/>
        <w:ind w:firstLine="567"/>
        <w:jc w:val="both"/>
      </w:pPr>
      <w:r>
        <w:rPr>
          <w:rFonts w:ascii="Arial" w:cs="Arial" w:eastAsia="Arial" w:hAnsi="Arial"/>
          <w:sz w:val="24"/>
          <w:szCs w:val="24"/>
        </w:rPr>
        <w:t xml:space="preserve">Кроме того, фермерские хозяйства и сельскохозяйственные кооперативы не обладают специализированной высококачественной цепочкой поставок и взаимодействия, отвечающей нуждам внутренних и внешних рынков сбыта.</w:t>
      </w:r>
    </w:p>
    <w:p>
      <w:pPr>
        <w:spacing w:after="60"/>
        <w:ind w:firstLine="567"/>
        <w:jc w:val="both"/>
      </w:pPr>
      <w:r>
        <w:rPr>
          <w:rFonts w:ascii="Arial" w:cs="Arial" w:eastAsia="Arial" w:hAnsi="Arial"/>
          <w:sz w:val="24"/>
          <w:szCs w:val="24"/>
        </w:rPr>
        <w:t xml:space="preserve">Одним из важных путей решения проблемы сбыта сельхозпродукции является создание ТЛЦ, которые защитят интересы производителей и потребителей, обеспечат портфель заказов и предложений.</w:t>
      </w:r>
    </w:p>
    <w:p>
      <w:pPr>
        <w:spacing w:after="60"/>
        <w:ind w:firstLine="567"/>
        <w:jc w:val="both"/>
      </w:pPr>
      <w:r>
        <w:rPr>
          <w:rFonts w:ascii="Arial" w:cs="Arial" w:eastAsia="Arial" w:hAnsi="Arial"/>
          <w:sz w:val="24"/>
          <w:szCs w:val="24"/>
        </w:rPr>
        <w:t xml:space="preserve">Настоящая Программа ориентирована на усиление потенциала хозяйствующих субъектов, продвижение торговли, экспорта и развитие инфраструктуры.</w:t>
      </w:r>
    </w:p>
    <w:p>
      <w:pPr>
        <w:spacing w:after="60"/>
        <w:ind w:firstLine="567"/>
        <w:jc w:val="both"/>
      </w:pPr>
      <w:r>
        <w:rPr>
          <w:rFonts w:ascii="Arial" w:cs="Arial" w:eastAsia="Arial" w:hAnsi="Arial"/>
          <w:sz w:val="24"/>
          <w:szCs w:val="24"/>
        </w:rPr>
        <w:t xml:space="preserve">Следует отметить, что Кыргызстан является членом Всемирной торговой организации, Евразийского экономического союза (далее - ЕАЭС), имеет льготную политику ВСП+ЕС на беспошлинный ввоз 6200 наименований товаров и льготные тарифы на ввоз 3500 наименований товаров в США. Особое расположение Кыргызстана позволяет создавать и развивать ТЛЦ, ориентированные на экспорт сельскохозяйственной продукции в страны ЕАЭС и третьи страны.</w:t>
      </w:r>
    </w:p>
    <w:p>
      <w:pPr>
        <w:spacing w:after="200" w:before="200"/>
        <w:jc w:val="center"/>
      </w:pPr>
      <w:r>
        <w:rPr>
          <w:rFonts w:ascii="Arial" w:cs="Arial" w:eastAsia="Arial" w:hAnsi="Arial"/>
          <w:b/>
          <w:bCs/>
          <w:sz w:val="24"/>
          <w:szCs w:val="24"/>
        </w:rPr>
        <w:t xml:space="preserve">3. Создание ТЛЦ, реконструкция и модернизация хранилищ сельскохозяйственной продукции с созданием соответствующей инфраструктуры</w:t>
      </w:r>
    </w:p>
    <w:p>
      <w:pPr>
        <w:spacing w:after="60"/>
        <w:ind w:firstLine="567"/>
        <w:jc w:val="both"/>
      </w:pPr>
      <w:r>
        <w:rPr>
          <w:rFonts w:ascii="Arial" w:cs="Arial" w:eastAsia="Arial" w:hAnsi="Arial"/>
          <w:sz w:val="24"/>
          <w:szCs w:val="24"/>
        </w:rPr>
        <w:t xml:space="preserve">Учитывая все обстоятельства сегодняшнего времени, сельскохозяйственная отрасль нуждается в значительной финансовой поддержке для роста производства, повышения эффективности и качества сельскохозяйственной продукции, создания соответствующей системы ее переработки, хранения и реализации.</w:t>
      </w:r>
    </w:p>
    <w:p>
      <w:pPr>
        <w:spacing w:after="60"/>
        <w:ind w:firstLine="567"/>
        <w:jc w:val="both"/>
      </w:pPr>
      <w:r>
        <w:rPr>
          <w:rFonts w:ascii="Arial" w:cs="Arial" w:eastAsia="Arial" w:hAnsi="Arial"/>
          <w:sz w:val="24"/>
          <w:szCs w:val="24"/>
        </w:rPr>
        <w:t xml:space="preserve">В целях повышения эффективности решения задач по созданию и развитию ТЛЦ предпочтительной становится практика разработки и принятия региональных программ развития ТЛЦ и хранилищ с уклоном на специализацию региона.</w:t>
      </w:r>
    </w:p>
    <w:p>
      <w:pPr>
        <w:spacing w:after="60"/>
        <w:ind w:firstLine="567"/>
        <w:jc w:val="both"/>
      </w:pPr>
      <w:r>
        <w:rPr>
          <w:rFonts w:ascii="Arial" w:cs="Arial" w:eastAsia="Arial" w:hAnsi="Arial"/>
          <w:sz w:val="24"/>
          <w:szCs w:val="24"/>
        </w:rPr>
        <w:t xml:space="preserve">В этой связи предлагается поэтапно в каждом районе республики построить современные хранилища, в зависимости от специализации регионов, соответствующей мощности и объема хранения, что предоставит сельскохозяйственным производителям полный спектр услуг по хранению и доставке произведенной сельскохозяйственной продукции, сбыту сельскохозяйственной продукции на внутренние и внешние рынки. Данная мера позволит создать дополнительные рабочие места и будет способствовать социально-экономическому росту регионов в целом.</w:t>
      </w:r>
    </w:p>
    <w:p>
      <w:pPr>
        <w:spacing w:after="60"/>
        <w:ind w:firstLine="567"/>
        <w:jc w:val="both"/>
      </w:pPr>
      <w:r>
        <w:rPr>
          <w:rFonts w:ascii="Arial" w:cs="Arial" w:eastAsia="Arial" w:hAnsi="Arial"/>
          <w:sz w:val="24"/>
          <w:szCs w:val="24"/>
        </w:rPr>
        <w:t xml:space="preserve">Основная проблема сельскохозяйственной отрасли - это неразвитость рынка логистических услуг, в связи с чем необходимо создавать механизмы товародвижения от производителя до потребителя.</w:t>
      </w:r>
    </w:p>
    <w:p>
      <w:pPr>
        <w:spacing w:after="60"/>
        <w:ind w:firstLine="567"/>
        <w:jc w:val="both"/>
      </w:pPr>
      <w:r>
        <w:rPr>
          <w:rFonts w:ascii="Arial" w:cs="Arial" w:eastAsia="Arial" w:hAnsi="Arial"/>
          <w:sz w:val="24"/>
          <w:szCs w:val="24"/>
        </w:rPr>
        <w:t xml:space="preserve">Новые ТЛЦ должны соответствовать нормам и требованиям современных ТЛЦ по хранению и продвижению товаров на внутренние и внешние рынки.</w:t>
      </w:r>
    </w:p>
    <w:p>
      <w:pPr>
        <w:spacing w:after="60"/>
        <w:ind w:firstLine="567"/>
        <w:jc w:val="both"/>
      </w:pPr>
      <w:r>
        <w:rPr>
          <w:rFonts w:ascii="Arial" w:cs="Arial" w:eastAsia="Arial" w:hAnsi="Arial"/>
          <w:sz w:val="24"/>
          <w:szCs w:val="24"/>
        </w:rPr>
        <w:t xml:space="preserve">При этом необходимо принять меры по:</w:t>
      </w:r>
    </w:p>
    <w:p>
      <w:pPr>
        <w:spacing w:after="60"/>
        <w:ind w:firstLine="567"/>
        <w:jc w:val="both"/>
      </w:pPr>
      <w:r>
        <w:rPr>
          <w:rFonts w:ascii="Arial" w:cs="Arial" w:eastAsia="Arial" w:hAnsi="Arial"/>
          <w:sz w:val="24"/>
          <w:szCs w:val="24"/>
        </w:rPr>
        <w:t xml:space="preserve">- определению земельных участков для строительства ТЛЦ, хранилищ сельскохозяйственной продукции;</w:t>
      </w:r>
    </w:p>
    <w:p>
      <w:pPr>
        <w:spacing w:after="60"/>
        <w:ind w:firstLine="567"/>
        <w:jc w:val="both"/>
      </w:pPr>
      <w:r>
        <w:rPr>
          <w:rFonts w:ascii="Arial" w:cs="Arial" w:eastAsia="Arial" w:hAnsi="Arial"/>
          <w:sz w:val="24"/>
          <w:szCs w:val="24"/>
        </w:rPr>
        <w:t xml:space="preserve">- созданию ТЛЦ;</w:t>
      </w:r>
    </w:p>
    <w:p>
      <w:pPr>
        <w:spacing w:after="60"/>
        <w:ind w:firstLine="567"/>
        <w:jc w:val="both"/>
      </w:pPr>
      <w:r>
        <w:rPr>
          <w:rFonts w:ascii="Arial" w:cs="Arial" w:eastAsia="Arial" w:hAnsi="Arial"/>
          <w:sz w:val="24"/>
          <w:szCs w:val="24"/>
        </w:rPr>
        <w:t xml:space="preserve">- реконструкции и модернизации хранилищ;</w:t>
      </w:r>
    </w:p>
    <w:p>
      <w:pPr>
        <w:spacing w:after="60"/>
        <w:ind w:firstLine="567"/>
        <w:jc w:val="both"/>
      </w:pPr>
      <w:r>
        <w:rPr>
          <w:rFonts w:ascii="Arial" w:cs="Arial" w:eastAsia="Arial" w:hAnsi="Arial"/>
          <w:sz w:val="24"/>
          <w:szCs w:val="24"/>
        </w:rPr>
        <w:t xml:space="preserve">- привлечению инвестиций для создания современной инфраструктуры и повышению профессиональной компетентности участников ТЛЦ;</w:t>
      </w:r>
    </w:p>
    <w:p>
      <w:pPr>
        <w:spacing w:after="60"/>
        <w:ind w:firstLine="567"/>
        <w:jc w:val="both"/>
      </w:pPr>
      <w:r>
        <w:rPr>
          <w:rFonts w:ascii="Arial" w:cs="Arial" w:eastAsia="Arial" w:hAnsi="Arial"/>
          <w:sz w:val="24"/>
          <w:szCs w:val="24"/>
        </w:rPr>
        <w:t xml:space="preserve">- развитию сотрудничества между товаропроизводителями сельскохозяйственной продукции и покупателями экспортной продукции для бизнес-партнерства.</w:t>
      </w:r>
    </w:p>
    <w:p>
      <w:pPr>
        <w:spacing w:after="200" w:before="200"/>
        <w:jc w:val="center"/>
      </w:pPr>
      <w:r>
        <w:rPr>
          <w:rFonts w:ascii="Arial" w:cs="Arial" w:eastAsia="Arial" w:hAnsi="Arial"/>
          <w:b/>
          <w:bCs/>
          <w:sz w:val="24"/>
          <w:szCs w:val="24"/>
        </w:rPr>
        <w:t xml:space="preserve">4. Развитие человеческих ресурсов для управления ТЛЦ</w:t>
      </w:r>
    </w:p>
    <w:p>
      <w:pPr>
        <w:spacing w:after="60"/>
        <w:ind w:firstLine="567"/>
        <w:jc w:val="both"/>
      </w:pPr>
      <w:r>
        <w:rPr>
          <w:rFonts w:ascii="Arial" w:cs="Arial" w:eastAsia="Arial" w:hAnsi="Arial"/>
          <w:sz w:val="24"/>
          <w:szCs w:val="24"/>
        </w:rPr>
        <w:t xml:space="preserve">Одной из проблем развития ТЛЦ является недостаток опыта работы в ТЛЦ у специалистов, нехватка опытных менеджеров. Следует отметить, что ТЛЦ - это комплекс мер по производству, качеству, консолидации, хранению, предпродажной подготовке товара, системной поставке, управлению запасами, которые выполняют подготовленные, высококвалифицированные специалисты по логистике.</w:t>
      </w:r>
    </w:p>
    <w:p>
      <w:pPr>
        <w:spacing w:after="60"/>
        <w:ind w:firstLine="567"/>
        <w:jc w:val="both"/>
      </w:pPr>
      <w:r>
        <w:rPr>
          <w:rFonts w:ascii="Arial" w:cs="Arial" w:eastAsia="Arial" w:hAnsi="Arial"/>
          <w:sz w:val="24"/>
          <w:szCs w:val="24"/>
        </w:rPr>
        <w:t xml:space="preserve">В этой связи необходима подготовка кадров, имеющих знания по управлению цепями поставок сельскохозяйственной продукции.</w:t>
      </w:r>
    </w:p>
    <w:p>
      <w:pPr>
        <w:spacing w:after="60"/>
        <w:ind w:firstLine="567"/>
        <w:jc w:val="both"/>
      </w:pPr>
      <w:r>
        <w:rPr>
          <w:rFonts w:ascii="Arial" w:cs="Arial" w:eastAsia="Arial" w:hAnsi="Arial"/>
          <w:sz w:val="24"/>
          <w:szCs w:val="24"/>
        </w:rPr>
        <w:t xml:space="preserve">Для развития человеческих ресурсов и управления ТЛЦ необходимо решение следующих задач:</w:t>
      </w:r>
    </w:p>
    <w:p>
      <w:pPr>
        <w:spacing w:after="60"/>
        <w:ind w:firstLine="567"/>
        <w:jc w:val="both"/>
      </w:pPr>
      <w:r>
        <w:rPr>
          <w:rFonts w:ascii="Arial" w:cs="Arial" w:eastAsia="Arial" w:hAnsi="Arial"/>
          <w:sz w:val="24"/>
          <w:szCs w:val="24"/>
        </w:rPr>
        <w:t xml:space="preserve">- разработка учебных программ для подготовки и переподготовки кадров по направлению торговой логистики в сотрудничестве с университетами и местными профессионально-техническими лицеями при содействии международных донорских организаций;</w:t>
      </w:r>
    </w:p>
    <w:p>
      <w:pPr>
        <w:spacing w:after="60"/>
        <w:ind w:firstLine="567"/>
        <w:jc w:val="both"/>
      </w:pPr>
      <w:r>
        <w:rPr>
          <w:rFonts w:ascii="Arial" w:cs="Arial" w:eastAsia="Arial" w:hAnsi="Arial"/>
          <w:sz w:val="24"/>
          <w:szCs w:val="24"/>
        </w:rPr>
        <w:t xml:space="preserve">- информирование малых и средних бизнес-сообществ, производителей в услугах ТЛЦ посредством создания официального Интернет-портала (сайт) для освещения деятельности ТЛЦ, а также размещения информации для инвесторов;</w:t>
      </w:r>
    </w:p>
    <w:p>
      <w:pPr>
        <w:spacing w:after="60"/>
        <w:ind w:firstLine="567"/>
        <w:jc w:val="both"/>
      </w:pPr>
      <w:r>
        <w:rPr>
          <w:rFonts w:ascii="Arial" w:cs="Arial" w:eastAsia="Arial" w:hAnsi="Arial"/>
          <w:sz w:val="24"/>
          <w:szCs w:val="24"/>
        </w:rPr>
        <w:t xml:space="preserve">- создание условий для проведения обучающих мероприятий для фермеров при составлении бизнес-планов строительства ТЛЦ;</w:t>
      </w:r>
    </w:p>
    <w:p>
      <w:pPr>
        <w:spacing w:after="60"/>
        <w:ind w:firstLine="567"/>
        <w:jc w:val="both"/>
      </w:pPr>
      <w:r>
        <w:rPr>
          <w:rFonts w:ascii="Arial" w:cs="Arial" w:eastAsia="Arial" w:hAnsi="Arial"/>
          <w:sz w:val="24"/>
          <w:szCs w:val="24"/>
        </w:rPr>
        <w:t xml:space="preserve">- проведение семинаров, конференций с участием представителей передовых ТЛЦ.</w:t>
      </w:r>
    </w:p>
    <w:p>
      <w:pPr>
        <w:spacing w:after="200" w:before="200"/>
        <w:jc w:val="center"/>
      </w:pPr>
      <w:r>
        <w:rPr>
          <w:rFonts w:ascii="Arial" w:cs="Arial" w:eastAsia="Arial" w:hAnsi="Arial"/>
          <w:b/>
          <w:bCs/>
          <w:sz w:val="24"/>
          <w:szCs w:val="24"/>
        </w:rPr>
        <w:t xml:space="preserve">5. Формирование и совершенствование НПА</w:t>
      </w:r>
    </w:p>
    <w:p>
      <w:pPr>
        <w:spacing w:after="60"/>
        <w:ind w:firstLine="567"/>
        <w:jc w:val="both"/>
      </w:pPr>
      <w:r>
        <w:rPr>
          <w:rFonts w:ascii="Arial" w:cs="Arial" w:eastAsia="Arial" w:hAnsi="Arial"/>
          <w:sz w:val="24"/>
          <w:szCs w:val="24"/>
        </w:rPr>
        <w:t xml:space="preserve">В соответствии с нормами Налогового кодекса Кыргызской Республики (статьи 212 и 239) ТЛЦ сельскохозяйственного назначения освобождены от налогообложения на прибыль, поставка ТЛЦ продукции сельскохозяйственного назначения и продуктов ее переработки, полученных от сельскохозяйственных производителей и сельскохозяйственных кооперативов, является поставкой, освобожденной от НДС. Также от уплаты НДС освобождены основные средства, импортируемые ТЛЦ, зарегистрированные в качестве плательщика НДС,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Вместе с тем необходимо рассмотреть вопрос о целесообразности установления перечня критериев для создания ТЛЦ, регулирования агропродовольственного рынка и отношений между его хозяйствующими субъектами, гармонизации национальных и международных требований по продовольственной безопасности.</w:t>
      </w:r>
    </w:p>
    <w:p>
      <w:pPr>
        <w:spacing w:after="60"/>
        <w:ind w:firstLine="567"/>
        <w:jc w:val="both"/>
      </w:pPr>
      <w:r>
        <w:rPr>
          <w:rFonts w:ascii="Arial" w:cs="Arial" w:eastAsia="Arial" w:hAnsi="Arial"/>
          <w:sz w:val="24"/>
          <w:szCs w:val="24"/>
        </w:rPr>
        <w:t xml:space="preserve">Кроме того, необходимо внести изменения в </w:t>
      </w:r>
      <w:hyperlink w:history="1" r:id="rIdbms-d27kzrqlzahm5m6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и </w:t>
      </w:r>
      <w:hyperlink w:history="1" r:id="rId5qwdwbpgd1di7mzrfjx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продовольственной безопасности Кыргызской Республики", которые регулируют отношения в сфере развития ТЛЦ.</w:t>
      </w:r>
    </w:p>
    <w:p>
      <w:pPr>
        <w:spacing w:after="200" w:before="200"/>
        <w:jc w:val="center"/>
      </w:pPr>
      <w:r>
        <w:rPr>
          <w:rFonts w:ascii="Arial" w:cs="Arial" w:eastAsia="Arial" w:hAnsi="Arial"/>
          <w:b/>
          <w:bCs/>
          <w:sz w:val="24"/>
          <w:szCs w:val="24"/>
        </w:rPr>
        <w:t xml:space="preserve">6. Обеспечение ТЛЦ техническими ресурсами</w:t>
      </w:r>
    </w:p>
    <w:p>
      <w:pPr>
        <w:spacing w:after="60"/>
        <w:ind w:firstLine="567"/>
        <w:jc w:val="both"/>
      </w:pPr>
      <w:r>
        <w:rPr>
          <w:rFonts w:ascii="Arial" w:cs="Arial" w:eastAsia="Arial" w:hAnsi="Arial"/>
          <w:sz w:val="24"/>
          <w:szCs w:val="24"/>
        </w:rPr>
        <w:t xml:space="preserve">В соответствии с Договором о ЕАЭС от 29 мая 2014 года, технические регламенты ЕАЭС имеют силу прямого действия на территории Кыргызской Республики.</w:t>
      </w:r>
    </w:p>
    <w:p>
      <w:pPr>
        <w:spacing w:after="60"/>
        <w:ind w:firstLine="567"/>
        <w:jc w:val="both"/>
      </w:pPr>
      <w:r>
        <w:rPr>
          <w:rFonts w:ascii="Arial" w:cs="Arial" w:eastAsia="Arial" w:hAnsi="Arial"/>
          <w:sz w:val="24"/>
          <w:szCs w:val="24"/>
        </w:rPr>
        <w:t xml:space="preserve">В соответствии с Договором о ЕАЭС условием поставки товаров, подлежащих фитосанитарному контролю, является фитосанитарный сертификат, подтверждающий безопасность продукции, благополучие административных территорий в местах производства этих товаров и отсутствие вредителей.</w:t>
      </w:r>
    </w:p>
    <w:p>
      <w:pPr>
        <w:spacing w:after="60"/>
        <w:ind w:firstLine="567"/>
        <w:jc w:val="both"/>
      </w:pPr>
      <w:r>
        <w:rPr>
          <w:rFonts w:ascii="Arial" w:cs="Arial" w:eastAsia="Arial" w:hAnsi="Arial"/>
          <w:sz w:val="24"/>
          <w:szCs w:val="24"/>
        </w:rPr>
        <w:t xml:space="preserve">В настоящее время на территории Кыргызской Республики действуют четыре фитосанитарные лаборатории по карантину растений (далее - лаборатории): Центральная - в городе Бишкек, Ошская - в городе Ош, Таласская - в селе Кызыл-Адыр и Иссык-Кульская - в селе Тюп.</w:t>
      </w:r>
    </w:p>
    <w:p>
      <w:pPr>
        <w:spacing w:after="60"/>
        <w:ind w:firstLine="567"/>
        <w:jc w:val="both"/>
      </w:pPr>
      <w:r>
        <w:rPr>
          <w:rFonts w:ascii="Arial" w:cs="Arial" w:eastAsia="Arial" w:hAnsi="Arial"/>
          <w:sz w:val="24"/>
          <w:szCs w:val="24"/>
        </w:rPr>
        <w:t xml:space="preserve">Однако возможности имеющихся лабораторий по карантину растений недостаточны для полного удовлетворения потребностей сельскохозяйственных производителей. Для развития сельскохозяйственной отрасли необходимо решение следующих задач:</w:t>
      </w:r>
    </w:p>
    <w:p>
      <w:pPr>
        <w:spacing w:after="60"/>
        <w:ind w:firstLine="567"/>
        <w:jc w:val="both"/>
      </w:pPr>
      <w:r>
        <w:rPr>
          <w:rFonts w:ascii="Arial" w:cs="Arial" w:eastAsia="Arial" w:hAnsi="Arial"/>
          <w:sz w:val="24"/>
          <w:szCs w:val="24"/>
        </w:rPr>
        <w:t xml:space="preserve">- реконструкция и модернизация лабораторий;</w:t>
      </w:r>
    </w:p>
    <w:p>
      <w:pPr>
        <w:spacing w:after="60"/>
        <w:ind w:firstLine="567"/>
        <w:jc w:val="both"/>
      </w:pPr>
      <w:r>
        <w:rPr>
          <w:rFonts w:ascii="Arial" w:cs="Arial" w:eastAsia="Arial" w:hAnsi="Arial"/>
          <w:sz w:val="24"/>
          <w:szCs w:val="24"/>
        </w:rPr>
        <w:t xml:space="preserve">- строительство новых лабораторий;</w:t>
      </w:r>
    </w:p>
    <w:p>
      <w:pPr>
        <w:spacing w:after="60"/>
        <w:ind w:firstLine="567"/>
        <w:jc w:val="both"/>
      </w:pPr>
      <w:r>
        <w:rPr>
          <w:rFonts w:ascii="Arial" w:cs="Arial" w:eastAsia="Arial" w:hAnsi="Arial"/>
          <w:sz w:val="24"/>
          <w:szCs w:val="24"/>
        </w:rPr>
        <w:t xml:space="preserve">- подготовка специалистов для работы в лабораториях ТЛЦ.</w:t>
      </w:r>
    </w:p>
    <w:p>
      <w:pPr>
        <w:spacing w:after="60"/>
        <w:ind w:firstLine="567"/>
        <w:jc w:val="both"/>
      </w:pPr>
      <w:r>
        <w:rPr>
          <w:rFonts w:ascii="Arial" w:cs="Arial" w:eastAsia="Arial" w:hAnsi="Arial"/>
          <w:sz w:val="24"/>
          <w:szCs w:val="24"/>
        </w:rPr>
        <w:t xml:space="preserve">Для решения задач необходимо создание лабораторий на базе ТЛЦ, на основе государственно-частного партнерства, что приведет к повышению уровня и качества продовольственной безопасности сельскохозяйственной продукции в сфере услуг.</w:t>
      </w:r>
    </w:p>
    <w:p>
      <w:pPr>
        <w:spacing w:after="200" w:before="200"/>
        <w:jc w:val="center"/>
      </w:pPr>
      <w:r>
        <w:rPr>
          <w:rFonts w:ascii="Arial" w:cs="Arial" w:eastAsia="Arial" w:hAnsi="Arial"/>
          <w:b/>
          <w:bCs/>
          <w:sz w:val="24"/>
          <w:szCs w:val="24"/>
        </w:rPr>
        <w:t xml:space="preserve">7. Финансирование мероприятий Программы</w:t>
      </w:r>
    </w:p>
    <w:p>
      <w:pPr>
        <w:spacing w:after="60"/>
        <w:ind w:firstLine="567"/>
        <w:jc w:val="both"/>
      </w:pPr>
      <w:r>
        <w:rPr>
          <w:rFonts w:ascii="Arial" w:cs="Arial" w:eastAsia="Arial" w:hAnsi="Arial"/>
          <w:sz w:val="24"/>
          <w:szCs w:val="24"/>
        </w:rPr>
        <w:t xml:space="preserve">В настоящее время большое внимание уделяется мерам государственной финансовой поддержки отечественных производителей и предпринимателей. В рамках проекта "Финансирование сельского хозяйства - 7", утвержденного постановлением Правительства Кыргызской Республики от 28 января 2019 года № 28, для строительства ТЛЦ предусмотрено льготное кредитование в размере 6% годовых, а также за счет средств Российско-Кыргызского Фонда развития.</w:t>
      </w:r>
    </w:p>
    <w:p>
      <w:pPr>
        <w:spacing w:after="60"/>
        <w:ind w:firstLine="567"/>
        <w:jc w:val="both"/>
      </w:pPr>
      <w:r>
        <w:rPr>
          <w:rFonts w:ascii="Arial" w:cs="Arial" w:eastAsia="Arial" w:hAnsi="Arial"/>
          <w:sz w:val="24"/>
          <w:szCs w:val="24"/>
        </w:rPr>
        <w:t xml:space="preserve">При этом, необходимо принять меры по повышению потенциала фермеров при разработке бизнес-планов для получения кредитных средств, а также предоставления качественных бизнес-планов для потенциальных инвесторов.</w:t>
      </w:r>
    </w:p>
    <w:p>
      <w:pPr>
        <w:spacing w:after="60"/>
        <w:ind w:firstLine="567"/>
        <w:jc w:val="both"/>
      </w:pPr>
      <w:r>
        <w:rPr>
          <w:rFonts w:ascii="Arial" w:cs="Arial" w:eastAsia="Arial" w:hAnsi="Arial"/>
          <w:sz w:val="24"/>
          <w:szCs w:val="24"/>
        </w:rPr>
        <w:t xml:space="preserve">Для реализации Плана мероприятий настоящей Программы финансирование ресурсов будет складываться из средств инвесторов и льготных кредитов, а также средств донорских проектов. Размеры финансирования донорами мероприятий настоящей Программы на очередные годы формируются на основе договоренностей заинтересованных сторон.</w:t>
      </w:r>
    </w:p>
    <w:p>
      <w:pPr>
        <w:spacing w:after="60"/>
        <w:ind w:firstLine="567"/>
        <w:jc w:val="both"/>
      </w:pPr>
      <w:r>
        <w:rPr>
          <w:rFonts w:ascii="Arial" w:cs="Arial" w:eastAsia="Arial" w:hAnsi="Arial"/>
          <w:sz w:val="24"/>
          <w:szCs w:val="24"/>
        </w:rPr>
        <w:t xml:space="preserve">В целях привлечения и продвижения прямых иностранных инвестиций по созданию и развитию ТЛЦ, следует разработать качественные инвестиционные бизнес-проекты, которые можно предложить потенциальным инвесторам.</w:t>
      </w:r>
    </w:p>
    <w:p>
      <w:pPr>
        <w:spacing w:after="60"/>
        <w:ind w:firstLine="567"/>
        <w:jc w:val="both"/>
      </w:pPr>
      <w:r>
        <w:rPr>
          <w:rFonts w:ascii="Arial" w:cs="Arial" w:eastAsia="Arial" w:hAnsi="Arial"/>
          <w:sz w:val="24"/>
          <w:szCs w:val="24"/>
        </w:rPr>
        <w:t xml:space="preserve">Также возникает необходимость увеличения объемов выделения целевых средств для строительства ТЛЦ и хранилищ на последующие годы по проекту "Финансирование сельского хозяйства".</w:t>
      </w:r>
    </w:p>
    <w:p>
      <w:pPr>
        <w:spacing w:after="200" w:before="200"/>
        <w:jc w:val="center"/>
      </w:pPr>
      <w:r>
        <w:rPr>
          <w:rFonts w:ascii="Arial" w:cs="Arial" w:eastAsia="Arial" w:hAnsi="Arial"/>
          <w:b/>
          <w:bCs/>
          <w:sz w:val="24"/>
          <w:szCs w:val="24"/>
        </w:rPr>
        <w:t xml:space="preserve">8. Ожидаемые результаты</w:t>
      </w:r>
    </w:p>
    <w:p>
      <w:pPr>
        <w:spacing w:after="60"/>
        <w:ind w:firstLine="567"/>
        <w:jc w:val="both"/>
      </w:pPr>
      <w:r>
        <w:rPr>
          <w:rFonts w:ascii="Arial" w:cs="Arial" w:eastAsia="Arial" w:hAnsi="Arial"/>
          <w:sz w:val="24"/>
          <w:szCs w:val="24"/>
        </w:rPr>
        <w:t xml:space="preserve">Реализация настоящей Программы позволит повысить конкурентоспособность сельскохозяйственной продукции через создание эффективного современного логистического механизма, который с минимальными затратами обеспечит развитие экономики страны и окажет содействие в:</w:t>
      </w:r>
    </w:p>
    <w:p>
      <w:pPr>
        <w:spacing w:after="60"/>
        <w:ind w:firstLine="567"/>
        <w:jc w:val="both"/>
      </w:pPr>
      <w:r>
        <w:rPr>
          <w:rFonts w:ascii="Arial" w:cs="Arial" w:eastAsia="Arial" w:hAnsi="Arial"/>
          <w:sz w:val="24"/>
          <w:szCs w:val="24"/>
        </w:rPr>
        <w:t xml:space="preserve">- обеспечении внутреннего и внешнего рынка качественной продукцией, развитии регионов, росте доходов сельского населения и повышении эффективности и развития ТЛЦ;</w:t>
      </w:r>
    </w:p>
    <w:p>
      <w:pPr>
        <w:spacing w:after="60"/>
        <w:ind w:firstLine="567"/>
        <w:jc w:val="both"/>
      </w:pPr>
      <w:r>
        <w:rPr>
          <w:rFonts w:ascii="Arial" w:cs="Arial" w:eastAsia="Arial" w:hAnsi="Arial"/>
          <w:sz w:val="24"/>
          <w:szCs w:val="24"/>
        </w:rPr>
        <w:t xml:space="preserve">- улучшении условий хранения и поставки сельскохозяйственной продукции;</w:t>
      </w:r>
    </w:p>
    <w:p>
      <w:pPr>
        <w:spacing w:after="60"/>
        <w:ind w:firstLine="567"/>
        <w:jc w:val="both"/>
      </w:pPr>
      <w:r>
        <w:rPr>
          <w:rFonts w:ascii="Arial" w:cs="Arial" w:eastAsia="Arial" w:hAnsi="Arial"/>
          <w:sz w:val="24"/>
          <w:szCs w:val="24"/>
        </w:rPr>
        <w:t xml:space="preserve">- расширении рынка труда в сельской местности;</w:t>
      </w:r>
    </w:p>
    <w:p>
      <w:pPr>
        <w:spacing w:after="60"/>
        <w:ind w:firstLine="567"/>
        <w:jc w:val="both"/>
      </w:pPr>
      <w:r>
        <w:rPr>
          <w:rFonts w:ascii="Arial" w:cs="Arial" w:eastAsia="Arial" w:hAnsi="Arial"/>
          <w:sz w:val="24"/>
          <w:szCs w:val="24"/>
        </w:rPr>
        <w:t xml:space="preserve">- увеличении экспорта сельскохозяйственной продукции.</w:t>
      </w:r>
    </w:p>
    <w:p>
      <w:pPr>
        <w:spacing w:after="60"/>
        <w:ind w:firstLine="567"/>
        <w:jc w:val="both"/>
      </w:pPr>
      <w:r>
        <w:rPr>
          <w:rFonts w:ascii="Arial" w:cs="Arial" w:eastAsia="Arial" w:hAnsi="Arial"/>
          <w:sz w:val="24"/>
          <w:szCs w:val="24"/>
        </w:rPr>
        <w:t xml:space="preserve">Кроме того, по итогам реализации Плана мероприятий планируется достижение следующих индикаторов:</w:t>
      </w:r>
    </w:p>
    <w:p>
      <w:pPr>
        <w:spacing w:after="60"/>
        <w:ind w:firstLine="567"/>
        <w:jc w:val="both"/>
      </w:pPr>
      <w:r>
        <w:rPr>
          <w:rFonts w:ascii="Arial" w:cs="Arial" w:eastAsia="Arial" w:hAnsi="Arial"/>
          <w:sz w:val="24"/>
          <w:szCs w:val="24"/>
        </w:rPr>
        <w:t xml:space="preserve">- создание до 2023 года не менее 11 ТЛЦ;</w:t>
      </w:r>
    </w:p>
    <w:p>
      <w:pPr>
        <w:spacing w:after="60"/>
        <w:ind w:firstLine="567"/>
        <w:jc w:val="both"/>
      </w:pPr>
      <w:r>
        <w:rPr>
          <w:rFonts w:ascii="Arial" w:cs="Arial" w:eastAsia="Arial" w:hAnsi="Arial"/>
          <w:sz w:val="24"/>
          <w:szCs w:val="24"/>
        </w:rPr>
        <w:t xml:space="preserve">- создание в регионах до 100 хранилищ;</w:t>
      </w:r>
    </w:p>
    <w:p>
      <w:pPr>
        <w:spacing w:after="60"/>
        <w:ind w:firstLine="567"/>
        <w:jc w:val="both"/>
      </w:pPr>
      <w:r>
        <w:rPr>
          <w:rFonts w:ascii="Arial" w:cs="Arial" w:eastAsia="Arial" w:hAnsi="Arial"/>
          <w:sz w:val="24"/>
          <w:szCs w:val="24"/>
        </w:rPr>
        <w:t xml:space="preserve">- снижение потерь сельскохозяйственной продукции до 20%;</w:t>
      </w:r>
    </w:p>
    <w:p>
      <w:pPr>
        <w:spacing w:after="60"/>
        <w:ind w:firstLine="567"/>
        <w:jc w:val="both"/>
      </w:pPr>
      <w:r>
        <w:rPr>
          <w:rFonts w:ascii="Arial" w:cs="Arial" w:eastAsia="Arial" w:hAnsi="Arial"/>
          <w:sz w:val="24"/>
          <w:szCs w:val="24"/>
        </w:rPr>
        <w:t xml:space="preserve">- создание Интернет-портала о деятельности ТЛЦ;</w:t>
      </w:r>
    </w:p>
    <w:p>
      <w:pPr>
        <w:spacing w:after="60"/>
        <w:ind w:firstLine="567"/>
        <w:jc w:val="both"/>
      </w:pPr>
      <w:r>
        <w:rPr>
          <w:rFonts w:ascii="Arial" w:cs="Arial" w:eastAsia="Arial" w:hAnsi="Arial"/>
          <w:sz w:val="24"/>
          <w:szCs w:val="24"/>
        </w:rPr>
        <w:t xml:space="preserve">- внедрение производителями ТЛЦ передовых технологий.</w:t>
      </w:r>
    </w:p>
    <w:p>
      <w:pPr>
        <w:spacing w:after="200" w:before="200"/>
        <w:jc w:val="center"/>
      </w:pPr>
      <w:r>
        <w:rPr>
          <w:rFonts w:ascii="Arial" w:cs="Arial" w:eastAsia="Arial" w:hAnsi="Arial"/>
          <w:b/>
          <w:bCs/>
          <w:sz w:val="24"/>
          <w:szCs w:val="24"/>
        </w:rPr>
        <w:t xml:space="preserve">9. Мониторинг и оценка</w:t>
      </w:r>
    </w:p>
    <w:p>
      <w:pPr>
        <w:spacing w:after="60"/>
        <w:ind w:firstLine="567"/>
        <w:jc w:val="both"/>
      </w:pPr>
      <w:r>
        <w:rPr>
          <w:rFonts w:ascii="Arial" w:cs="Arial" w:eastAsia="Arial" w:hAnsi="Arial"/>
          <w:sz w:val="24"/>
          <w:szCs w:val="24"/>
        </w:rPr>
        <w:t xml:space="preserve">Мониторинг настоящей Программы на этапе реализации будет ежегодно проводиться в сроки, обозначенные в Плане мероприятий, уполномоченным государственным органом в сфере сельского хозяйства, а результаты оцениваться по решению задач.</w:t>
      </w:r>
    </w:p>
    <w:p>
      <w:pPr>
        <w:spacing w:after="60"/>
        <w:ind w:firstLine="567"/>
        <w:jc w:val="both"/>
      </w:pPr>
      <w:r>
        <w:rPr>
          <w:rFonts w:ascii="Arial" w:cs="Arial" w:eastAsia="Arial" w:hAnsi="Arial"/>
          <w:sz w:val="24"/>
          <w:szCs w:val="24"/>
        </w:rPr>
        <w:t xml:space="preserve">Координация реализации настоящей Программы осуществляется уполномоченным органом в сфере сельского хозяйства, который:</w:t>
      </w:r>
    </w:p>
    <w:p>
      <w:pPr>
        <w:spacing w:after="60"/>
        <w:ind w:firstLine="567"/>
        <w:jc w:val="both"/>
      </w:pPr>
      <w:r>
        <w:rPr>
          <w:rFonts w:ascii="Arial" w:cs="Arial" w:eastAsia="Arial" w:hAnsi="Arial"/>
          <w:sz w:val="24"/>
          <w:szCs w:val="24"/>
        </w:rPr>
        <w:t xml:space="preserve">- определяет наиболее эффективные формы и порядок организации работ по выполнению Плана мероприятий;</w:t>
      </w:r>
    </w:p>
    <w:p>
      <w:pPr>
        <w:spacing w:after="60"/>
        <w:ind w:firstLine="567"/>
        <w:jc w:val="both"/>
      </w:pPr>
      <w:r>
        <w:rPr>
          <w:rFonts w:ascii="Arial" w:cs="Arial" w:eastAsia="Arial" w:hAnsi="Arial"/>
          <w:sz w:val="24"/>
          <w:szCs w:val="24"/>
        </w:rPr>
        <w:t xml:space="preserve">- определяет приоритетные направления и принимает меры по привлечению внебюджетных источников финансирования;</w:t>
      </w:r>
    </w:p>
    <w:p>
      <w:pPr>
        <w:spacing w:after="60"/>
        <w:ind w:firstLine="567"/>
        <w:jc w:val="both"/>
      </w:pPr>
      <w:r>
        <w:rPr>
          <w:rFonts w:ascii="Arial" w:cs="Arial" w:eastAsia="Arial" w:hAnsi="Arial"/>
          <w:sz w:val="24"/>
          <w:szCs w:val="24"/>
        </w:rPr>
        <w:t xml:space="preserve">- обеспечивает контроль за ходом и качеством реализации мероприятий, предусмотренных Планом мероприятий.</w:t>
      </w:r>
    </w:p>
    <w:p>
      <w:pPr>
        <w:spacing w:after="60"/>
        <w:ind w:firstLine="567"/>
        <w:jc w:val="both"/>
      </w:pPr>
      <w:r>
        <w:rPr>
          <w:rFonts w:ascii="Arial" w:cs="Arial" w:eastAsia="Arial" w:hAnsi="Arial"/>
          <w:sz w:val="24"/>
          <w:szCs w:val="24"/>
        </w:rPr>
        <w:t xml:space="preserve">Мониторинг и оценка выполнения задач, предусмотренных в Плане мероприятий, станут эффективным инструментом отслеживания прогресса их реализации и позволят:</w:t>
      </w:r>
    </w:p>
    <w:p>
      <w:pPr>
        <w:spacing w:after="60"/>
        <w:ind w:firstLine="567"/>
        <w:jc w:val="both"/>
      </w:pPr>
      <w:r>
        <w:rPr>
          <w:rFonts w:ascii="Arial" w:cs="Arial" w:eastAsia="Arial" w:hAnsi="Arial"/>
          <w:sz w:val="24"/>
          <w:szCs w:val="24"/>
        </w:rPr>
        <w:t xml:space="preserve">- принимать решения о внесении корректировок в процесс продвижения приоритетов;</w:t>
      </w:r>
    </w:p>
    <w:p>
      <w:pPr>
        <w:spacing w:after="60"/>
        <w:ind w:firstLine="567"/>
        <w:jc w:val="both"/>
      </w:pPr>
      <w:r>
        <w:rPr>
          <w:rFonts w:ascii="Arial" w:cs="Arial" w:eastAsia="Arial" w:hAnsi="Arial"/>
          <w:sz w:val="24"/>
          <w:szCs w:val="24"/>
        </w:rPr>
        <w:t xml:space="preserve">- производить оценку их воздействия на экономическое развитие страны.</w:t>
      </w:r>
    </w:p>
    <w:p>
      <w:pPr>
        <w:spacing w:after="200" w:before="200"/>
        <w:jc w:val="center"/>
      </w:pPr>
      <w:r>
        <w:rPr>
          <w:rFonts w:ascii="Arial" w:cs="Arial" w:eastAsia="Arial" w:hAnsi="Arial"/>
          <w:b/>
          <w:bCs/>
          <w:sz w:val="24"/>
          <w:szCs w:val="24"/>
        </w:rPr>
        <w:t xml:space="preserve">10. Возможные риски</w:t>
      </w:r>
    </w:p>
    <w:p>
      <w:pPr>
        <w:spacing w:after="60"/>
        <w:ind w:firstLine="567"/>
        <w:jc w:val="both"/>
      </w:pPr>
      <w:r>
        <w:rPr>
          <w:rFonts w:ascii="Arial" w:cs="Arial" w:eastAsia="Arial" w:hAnsi="Arial"/>
          <w:sz w:val="24"/>
          <w:szCs w:val="24"/>
        </w:rPr>
        <w:t xml:space="preserve">Сельское хозяйство в Кыргызской Республике является одной из ведущих сфер экономики и имеет не только экономическое, социальное и политическое значение, но и является отраслью, наиболее подверженной воздействию внешних и природных неблагоприятных факторов. Среди них можно выделить следующие:</w:t>
      </w:r>
    </w:p>
    <w:p>
      <w:pPr>
        <w:spacing w:after="60"/>
        <w:ind w:firstLine="567"/>
        <w:jc w:val="both"/>
      </w:pPr>
      <w:r>
        <w:rPr>
          <w:rFonts w:ascii="Arial" w:cs="Arial" w:eastAsia="Arial" w:hAnsi="Arial"/>
          <w:sz w:val="24"/>
          <w:szCs w:val="24"/>
        </w:rPr>
        <w:t xml:space="preserve">1. Экологические риски в агропромышленном секторе могут оказывать влияние на перерабатывающие предприятия отрасли через сокращение объемов и снижение качества сельскохозяйственного сырья, поступающего на переработку, по причине неблагоприятно складывающихся погодно-климатических условий, а также природных и техногенных чрезвычайных ситуаций. К этой же группе следует отнести и риски в животноводстве (птичий и свиной грипп, коровье бешенство, ящур и другие). Данные риски могут повлечь за собой снижение объемов выпуска пищевых продуктов и использования мощностей перерабатывающих предприятий, создать дефицит продовольствия на внутреннем рынке, привести к сокращению экспорта и увеличению импорта сырья и продовольствия.</w:t>
      </w:r>
    </w:p>
    <w:p>
      <w:pPr>
        <w:spacing w:after="60"/>
        <w:ind w:firstLine="567"/>
        <w:jc w:val="both"/>
      </w:pPr>
      <w:r>
        <w:rPr>
          <w:rFonts w:ascii="Arial" w:cs="Arial" w:eastAsia="Arial" w:hAnsi="Arial"/>
          <w:sz w:val="24"/>
          <w:szCs w:val="24"/>
        </w:rPr>
        <w:t xml:space="preserve">2. Экономические риски связаны с темпами роста экономики и доходов населения, тарифно-таможенной, курсовой и внешнеторговой политикой, ужесточением конкуренции на мировом рынке и другие. Эти риски можно разделить на внешние и внутренние.</w:t>
      </w:r>
    </w:p>
    <w:p>
      <w:pPr>
        <w:spacing w:after="60"/>
        <w:ind w:firstLine="567"/>
        <w:jc w:val="both"/>
      </w:pPr>
      <w:r>
        <w:rPr>
          <w:rFonts w:ascii="Arial" w:cs="Arial" w:eastAsia="Arial" w:hAnsi="Arial"/>
          <w:sz w:val="24"/>
          <w:szCs w:val="24"/>
        </w:rPr>
        <w:t xml:space="preserve">К внешним рискам следует отнести торгово-экономические риски, обусловленные либерализацией внешнеэкономической деятельности, возможностями введения ограничений по мерам аграрной политики, тарифному квотированию и уровню таможенных пошлин.</w:t>
      </w:r>
    </w:p>
    <w:p>
      <w:pPr>
        <w:spacing w:after="60"/>
        <w:ind w:firstLine="567"/>
        <w:jc w:val="both"/>
      </w:pPr>
      <w:r>
        <w:rPr>
          <w:rFonts w:ascii="Arial" w:cs="Arial" w:eastAsia="Arial" w:hAnsi="Arial"/>
          <w:sz w:val="24"/>
          <w:szCs w:val="24"/>
        </w:rPr>
        <w:t xml:space="preserve">Среди внутренних рисков серьезными могут быть:</w:t>
      </w:r>
    </w:p>
    <w:p>
      <w:pPr>
        <w:spacing w:after="60"/>
        <w:ind w:firstLine="567"/>
        <w:jc w:val="both"/>
      </w:pPr>
      <w:r>
        <w:rPr>
          <w:rFonts w:ascii="Arial" w:cs="Arial" w:eastAsia="Arial" w:hAnsi="Arial"/>
          <w:sz w:val="24"/>
          <w:szCs w:val="24"/>
        </w:rPr>
        <w:t xml:space="preserve">- социальный риск, связанный с ростом цен на продовольствие, который в значительной мере может повлиять на доходы населения, снижение его покупательной способности, сохранение разрыва между различными социальными группами населения по экономической доступности продуктов питания;</w:t>
      </w:r>
    </w:p>
    <w:p>
      <w:pPr>
        <w:spacing w:after="60"/>
        <w:ind w:firstLine="567"/>
        <w:jc w:val="both"/>
      </w:pPr>
      <w:r>
        <w:rPr>
          <w:rFonts w:ascii="Arial" w:cs="Arial" w:eastAsia="Arial" w:hAnsi="Arial"/>
          <w:sz w:val="24"/>
          <w:szCs w:val="24"/>
        </w:rPr>
        <w:t xml:space="preserve">- снижение социального риска, которое заключается в оказании помощи отечественным товаропроизводителям в увеличении и устойчивости производства сельскохозяйственной продукции, формировании организованных сетей продвижения сельскохозяйственной продукции "от поля до прилавка", в регулировании торговой деятельности, что будет способствовать снижению стоимости сырья и цен на продукты питания.</w:t>
      </w:r>
    </w:p>
    <w:p>
      <w:pPr>
        <w:spacing w:after="200" w:before="200"/>
        <w:jc w:val="center"/>
      </w:pPr>
      <w:r>
        <w:rPr>
          <w:rFonts w:ascii="Arial" w:cs="Arial" w:eastAsia="Arial" w:hAnsi="Arial"/>
          <w:b/>
          <w:bCs/>
          <w:sz w:val="24"/>
          <w:szCs w:val="24"/>
        </w:rPr>
        <w:t xml:space="preserve">11. Список сокращений:</w:t>
      </w:r>
    </w:p>
    <w:p>
      <w:pPr>
        <w:tabs>
          <w:tab w:val="right" w:pos="10178"/>
        </w:tabs>
        <w:spacing w:after="120"/>
      </w:pPr>
      <w:r>
        <w:rPr>
          <w:rFonts w:ascii="Arial" w:cs="Arial" w:eastAsia="Arial" w:hAnsi="Arial"/>
          <w:b/>
          <w:bCs/>
          <w:sz w:val="24"/>
          <w:szCs w:val="24"/>
        </w:rPr>
        <w:t xml:space="preserve">ТЛЦ</w:t>
      </w:r>
      <w:r>
        <w:rPr>
          <w:rFonts w:ascii="Arial" w:cs="Arial" w:eastAsia="Arial" w:hAnsi="Arial"/>
          <w:sz w:val="24"/>
          <w:szCs w:val="24"/>
        </w:rPr>
        <w:t xml:space="preserve">	</w:t>
      </w:r>
      <w:r>
        <w:rPr>
          <w:rFonts w:ascii="Arial" w:cs="Arial" w:eastAsia="Arial" w:hAnsi="Arial"/>
          <w:sz w:val="24"/>
          <w:szCs w:val="24"/>
        </w:rPr>
        <w:t xml:space="preserve">торгово-логистический центр</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ФСХ</w:t>
      </w:r>
      <w:r>
        <w:rPr>
          <w:rFonts w:ascii="Arial" w:cs="Arial" w:eastAsia="Arial" w:hAnsi="Arial"/>
          <w:sz w:val="24"/>
          <w:szCs w:val="24"/>
        </w:rPr>
        <w:t xml:space="preserve">	</w:t>
      </w:r>
      <w:r>
        <w:rPr>
          <w:rFonts w:ascii="Arial" w:cs="Arial" w:eastAsia="Arial" w:hAnsi="Arial"/>
          <w:sz w:val="24"/>
          <w:szCs w:val="24"/>
        </w:rPr>
        <w:t xml:space="preserve">финансирование сельского хозяйства</w:t>
      </w:r>
    </w:p>
    <w:p>
      <w:pPr>
        <w:tabs>
          <w:tab w:val="right" w:pos="10178"/>
        </w:tabs>
        <w:spacing w:after="120"/>
      </w:pPr>
      <w:r>
        <w:rPr>
          <w:rFonts w:ascii="Arial" w:cs="Arial" w:eastAsia="Arial" w:hAnsi="Arial"/>
          <w:b/>
          <w:bCs/>
          <w:sz w:val="24"/>
          <w:szCs w:val="24"/>
        </w:rPr>
        <w:t xml:space="preserve">РКФР</w:t>
      </w:r>
      <w:r>
        <w:rPr>
          <w:rFonts w:ascii="Arial" w:cs="Arial" w:eastAsia="Arial" w:hAnsi="Arial"/>
          <w:sz w:val="24"/>
          <w:szCs w:val="24"/>
        </w:rPr>
        <w:t xml:space="preserve">	</w:t>
      </w:r>
      <w:r>
        <w:rPr>
          <w:rFonts w:ascii="Arial" w:cs="Arial" w:eastAsia="Arial" w:hAnsi="Arial"/>
          <w:sz w:val="24"/>
          <w:szCs w:val="24"/>
        </w:rPr>
        <w:t xml:space="preserve">Российско-Кыргызский Фонд развития</w:t>
      </w:r>
    </w:p>
    <w:p>
      <w:pPr>
        <w:tabs>
          <w:tab w:val="right" w:pos="10178"/>
        </w:tabs>
        <w:spacing w:after="120"/>
      </w:pPr>
      <w:r>
        <w:rPr>
          <w:rFonts w:ascii="Arial" w:cs="Arial" w:eastAsia="Arial" w:hAnsi="Arial"/>
          <w:b/>
          <w:bCs/>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qmukgeh-rol79yhuvckr">
      <w:r>
        <w:rPr>
          <w:rFonts w:ascii="Arial" w:cs="Arial" w:eastAsia="Arial" w:hAnsi="Arial"/>
          <w:color w:val="132D3F"/>
          <w:sz w:val="16"/>
          <w:szCs w:val="16"/>
          <w:u w:val="single"/>
        </w:rPr>
        <w:t xml:space="preserve">dalil.kg/document/14321</w:t>
      </w:r>
    </w:hyperlink>
  </w:p>
  <w:p>
    <w:pPr>
      <w:spacing w:after="0" w:before="40"/>
      <w:jc w:val="center"/>
    </w:pPr>
    <w:hyperlink w:history="1" r:id="rIdvaa7xnf4qwwuswwdd841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pmdxfgmrzfo6vhxflso" Type="http://schemas.openxmlformats.org/officeDocument/2006/relationships/hyperlink" Target="https://dalil.kg/document/14319" TargetMode="External"/><Relationship Id="rIdg6karazmwwwbb1oqnfjs0" Type="http://schemas.openxmlformats.org/officeDocument/2006/relationships/hyperlink" Target="https://dalil.kg/document/97868" TargetMode="External"/><Relationship Id="rIdmaiyz6gjvroidw8r5sqbu" Type="http://schemas.openxmlformats.org/officeDocument/2006/relationships/hyperlink" Target="https://dalil.kg/document/11941" TargetMode="External"/><Relationship Id="rIdnoxin8t7tdln0f7_fn821" Type="http://schemas.openxmlformats.org/officeDocument/2006/relationships/hyperlink" Target="https://dalil.kg/document/11941" TargetMode="External"/><Relationship Id="rIdx4lhxa6ys0eljlkozbug0" Type="http://schemas.openxmlformats.org/officeDocument/2006/relationships/hyperlink" Target="https://dalil.kg/document/215331" TargetMode="External"/><Relationship Id="rIdtwe_esaetrl1_cdaz6sat" Type="http://schemas.openxmlformats.org/officeDocument/2006/relationships/hyperlink" Target="https://dalil.kg/document/430001" TargetMode="External"/><Relationship Id="rIdbms-d27kzrqlzahm5m6i-" Type="http://schemas.openxmlformats.org/officeDocument/2006/relationships/hyperlink" Target="https://dalil.kg/document/202555" TargetMode="External"/><Relationship Id="rId5qwdwbpgd1di7mzrfjxfz" Type="http://schemas.openxmlformats.org/officeDocument/2006/relationships/hyperlink" Target="https://dalil.kg/document/20239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qmukgeh-rol79yhuvckr" Type="http://schemas.openxmlformats.org/officeDocument/2006/relationships/hyperlink" Target="https://dalil.kg/document/14321" TargetMode="External"/><Relationship Id="rIdvaa7xnf4qwwuswwdd841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2026-09-23T21:08:07.089Z</dcterms:created>
  <dcterms:modified xsi:type="dcterms:W3CDTF">2026-09-23T21:08:07.089Z</dcterms:modified>
</cp:coreProperties>
</file>

<file path=docProps/custom.xml><?xml version="1.0" encoding="utf-8"?>
<Properties xmlns="http://schemas.openxmlformats.org/officeDocument/2006/custom-properties" xmlns:vt="http://schemas.openxmlformats.org/officeDocument/2006/docPropsVTypes"/>
</file>