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 в соответствии с </w:t>
      </w:r>
      <w:hyperlink w:history="1" r:id="rIdfvepz194_mfibsa1tupw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26 августа 2024 года № 504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июля 2019 года № 354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Рамочной программы по обеспечению фитосанитарной безопасности в Кыргызской Республике на 2019-2023 годы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фитосанитарной безопасности на территории Кыргызской Республики,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ml1vlm_buu3erlxtiibf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jtl6wzufn130g91th3c6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Рамочную программу</w:t>
        </w:r>
      </w:hyperlink>
      <w:r>
        <w:rPr>
          <w:rFonts w:ascii="Arial" w:cs="Arial" w:eastAsia="Arial" w:hAnsi="Arial"/>
          <w:sz w:val="24"/>
          <w:szCs w:val="24"/>
        </w:rPr>
        <w:t xml:space="preserve"> по обеспечению фитосанитарной безопасности в Кыргызской Республике на 2019-2023 годы согласно приложению 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crzznuoyfc7xvljdxpwx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</w:t>
        </w:r>
      </w:hyperlink>
      <w:r>
        <w:rPr>
          <w:rFonts w:ascii="Arial" w:cs="Arial" w:eastAsia="Arial" w:hAnsi="Arial"/>
          <w:sz w:val="24"/>
          <w:szCs w:val="24"/>
        </w:rPr>
        <w:t xml:space="preserve"> мероприятий по реализации Рамочной программы по обеспечению фитосанитарной безопасности в Кыргызской Республике на 2019-2023 годы (далее - План мероприятий) согласно приложению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Государственной инспекции по ветеринарной и фитосанитарной безопасности при Правительстве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 по исполнению Плана мероприятий;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ежеквартально, не позднее 10 числа месяца, следующего за отчетным периодом, представлять в Министерство сельского хозяйства, пищевой промышленности и мелиорации Кыргызской Республики информацию о ходе выполнения Плана мероприятий.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сельского хозяйства, пищевой промышленности и мелиорации Кыргызской Республики по итогам каждого полугодия, не позднее 25 числа месяца, следующего за отчетным периодом, представлять в Аппарат Правительства Кыргызской Республики информацию о ходе выполнения Плана мероприятий.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агропромышленного комплекса и экологии Аппарата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6 августа 2019 года N 65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ПЛАН
 мероприятий по реализации Рамочной программы по обеспечению фитосанитарной безопасности в Кыргызской Республике на 2019-2023 годы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Цель: Создание условий, обеспечивающих фитосанитарную безопасность на территории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Приоритеты: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достаточного потенциала (фитосанитарного и правового) карантина растений;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применение фитосанитарных мер в отношении импорта для защиты растительных ресурсов страны;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надежной системы сертификации экспорта для международной торговли продукцией растительного происхождения;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соответствующей инфраструктуры в сфере карантина растений.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46"/>
        <w:gridCol w:w="1889"/>
        <w:gridCol w:w="2192"/>
        <w:gridCol w:w="1433"/>
        <w:gridCol w:w="2412"/>
        <w:gridCol w:w="1806"/>
      </w:tblGrid>
      <w:tr>
        <w:tc>
          <w:tcPr>
            <w:tcW w:type="dxa" w:w="44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8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Задача</w:t>
            </w:r>
          </w:p>
        </w:tc>
        <w:tc>
          <w:tcPr>
            <w:tcW w:type="dxa" w:w="219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Мероприятия</w:t>
            </w:r>
          </w:p>
        </w:tc>
        <w:tc>
          <w:tcPr>
            <w:tcW w:type="dxa" w:w="143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Сроки реализации</w:t>
            </w:r>
          </w:p>
        </w:tc>
        <w:tc>
          <w:tcPr>
            <w:tcW w:type="dxa" w:w="241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Ожидаемый результат (продукт)</w:t>
            </w:r>
          </w:p>
        </w:tc>
        <w:tc>
          <w:tcPr>
            <w:tcW w:type="dxa" w:w="180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 исполнители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Обеспечение достаточного потенциала (фитосанитарного и правового) карантина растений</w:t>
            </w:r>
          </w:p>
        </w:tc>
      </w:tr>
      <w:tr>
        <w:tc>
          <w:tcPr>
            <w:tcW w:type="dxa" w:w="44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8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достаточного фитосанитарного потенциала</w:t>
            </w:r>
          </w:p>
        </w:tc>
        <w:tc>
          <w:tcPr>
            <w:tcW w:type="dxa" w:w="21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механизма проведения государственных мероприятий в области фитосанитарной безопасности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2019 года</w:t>
            </w:r>
          </w:p>
        </w:tc>
        <w:tc>
          <w:tcPr>
            <w:tcW w:type="dxa" w:w="2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возможностей уполномоченного государственного органа по контролю и надзору в сфере карантина растений</w:t>
            </w:r>
          </w:p>
        </w:tc>
        <w:tc>
          <w:tcPr>
            <w:tcW w:type="dxa" w:w="1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МСХППМ, ГИВФБ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системы проведения АФР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2020 года</w:t>
            </w:r>
          </w:p>
        </w:tc>
        <w:tc>
          <w:tcPr>
            <w:tcW w:type="dxa" w:w="2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Своевременно выявлены фитосанитарные риски</w:t>
            </w:r>
          </w:p>
        </w:tc>
        <w:tc>
          <w:tcPr>
            <w:tcW w:type="dxa" w:w="1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механизма управления, обмена информацией и координации деятельности уполномоченных организаций в сфере карантина растений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2019 года</w:t>
            </w:r>
          </w:p>
        </w:tc>
        <w:tc>
          <w:tcPr>
            <w:tcW w:type="dxa" w:w="2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Стабилизированная фитосанитарная обстановка</w:t>
            </w:r>
          </w:p>
        </w:tc>
        <w:tc>
          <w:tcPr>
            <w:tcW w:type="dxa" w:w="1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МСХППМ, ГИВФБ</w:t>
            </w:r>
          </w:p>
        </w:tc>
      </w:tr>
      <w:tr>
        <w:tc>
          <w:tcPr>
            <w:tcW w:type="dxa" w:w="44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8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достаточного правового потенциала</w:t>
            </w:r>
          </w:p>
        </w:tc>
        <w:tc>
          <w:tcPr>
            <w:tcW w:type="dxa" w:w="21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учебных программ для специалистов всех уровней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2020 года</w:t>
            </w:r>
          </w:p>
        </w:tc>
        <w:tc>
          <w:tcPr>
            <w:tcW w:type="dxa" w:w="2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Повышены качество и целенаправленность учебных программ</w:t>
            </w:r>
          </w:p>
        </w:tc>
        <w:tc>
          <w:tcPr>
            <w:tcW w:type="dxa" w:w="1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СОП и инструкций по конкретным видам деятельности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III-IV кварталы 2019 года</w:t>
            </w:r>
          </w:p>
        </w:tc>
        <w:tc>
          <w:tcPr>
            <w:tcW w:type="dxa" w:w="2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орган по контролю и надзору в сфере карантина растений обеспечен методическими руководствами</w:t>
            </w:r>
          </w:p>
        </w:tc>
        <w:tc>
          <w:tcPr>
            <w:tcW w:type="dxa" w:w="1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систематического обучения инспекторов на национальном уровне для всех регионов страны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2019 года - IV квартал 2023 года</w:t>
            </w:r>
          </w:p>
        </w:tc>
        <w:tc>
          <w:tcPr>
            <w:tcW w:type="dxa" w:w="2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Повышена квалификация инспекторов</w:t>
            </w:r>
          </w:p>
        </w:tc>
        <w:tc>
          <w:tcPr>
            <w:tcW w:type="dxa" w:w="1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МСХППМ, ГИВФБ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научно-исследовательского института карантина растений и учебного центра карантина растений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 год</w:t>
            </w:r>
          </w:p>
        </w:tc>
        <w:tc>
          <w:tcPr>
            <w:tcW w:type="dxa" w:w="2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Созданы условия для повышения квалификации</w:t>
            </w:r>
          </w:p>
        </w:tc>
        <w:tc>
          <w:tcPr>
            <w:tcW w:type="dxa" w:w="1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МСХППМ, ГИВФБ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АФР и применение МСФМ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2021 год</w:t>
            </w:r>
          </w:p>
        </w:tc>
        <w:tc>
          <w:tcPr>
            <w:tcW w:type="dxa" w:w="2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Проведены анализ карантинных вредных организмов и гармонизация законодательной базы в сфере карантина растений с МСФМ</w:t>
            </w:r>
          </w:p>
        </w:tc>
        <w:tc>
          <w:tcPr>
            <w:tcW w:type="dxa" w:w="1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Взаимодействие с НОКЗР других государств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2020 год</w:t>
            </w:r>
          </w:p>
        </w:tc>
        <w:tc>
          <w:tcPr>
            <w:tcW w:type="dxa" w:w="2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Получен опыт НОКЗР других государств</w:t>
            </w:r>
          </w:p>
        </w:tc>
        <w:tc>
          <w:tcPr>
            <w:tcW w:type="dxa" w:w="1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МСХППМ, ГИВФБ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Применение фитосанитарных мер в отношении импорта подкарантинной продукции и материалов для защиты растительных ресурсов страны</w:t>
            </w:r>
          </w:p>
        </w:tc>
      </w:tr>
      <w:tr>
        <w:tc>
          <w:tcPr>
            <w:tcW w:type="dxa" w:w="44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8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Осуществление надзора</w:t>
            </w:r>
          </w:p>
        </w:tc>
        <w:tc>
          <w:tcPr>
            <w:tcW w:type="dxa" w:w="21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перечня регулируемых вредных организмов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2021 год</w:t>
            </w:r>
          </w:p>
        </w:tc>
        <w:tc>
          <w:tcPr>
            <w:tcW w:type="dxa" w:w="2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 экспортный потенциал отечественных сельскохозяйственных производителей</w:t>
            </w:r>
          </w:p>
        </w:tc>
        <w:tc>
          <w:tcPr>
            <w:tcW w:type="dxa" w:w="1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статуса вредных организмов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2021 год</w:t>
            </w:r>
          </w:p>
        </w:tc>
        <w:tc>
          <w:tcPr>
            <w:tcW w:type="dxa" w:w="2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 экспортный потенциал отечественных сельскохозяйственных производителей</w:t>
            </w:r>
          </w:p>
        </w:tc>
        <w:tc>
          <w:tcPr>
            <w:tcW w:type="dxa" w:w="1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Подтверждение отсутствия вредных организмов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 год</w:t>
            </w:r>
          </w:p>
        </w:tc>
        <w:tc>
          <w:tcPr>
            <w:tcW w:type="dxa" w:w="2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 экспортный потенциал отечественных сельскохозяйственных производителей</w:t>
            </w:r>
          </w:p>
        </w:tc>
        <w:tc>
          <w:tcPr>
            <w:tcW w:type="dxa" w:w="1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</w:t>
            </w:r>
          </w:p>
        </w:tc>
      </w:tr>
      <w:tr>
        <w:tc>
          <w:tcPr>
            <w:tcW w:type="dxa" w:w="44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8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Регулирование импорта</w:t>
            </w:r>
          </w:p>
        </w:tc>
        <w:tc>
          <w:tcPr>
            <w:tcW w:type="dxa" w:w="21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Запрещение или ограничивание ввоза отдельных видов подкарантинной продукции при выявлении случаев несоответствия фитосанитарным требованиям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 год</w:t>
            </w:r>
          </w:p>
        </w:tc>
        <w:tc>
          <w:tcPr>
            <w:tcW w:type="dxa" w:w="2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Территория страны защищена от вредных организмов</w:t>
            </w:r>
          </w:p>
        </w:tc>
        <w:tc>
          <w:tcPr>
            <w:tcW w:type="dxa" w:w="1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Оснащение современным оборудованием пунктов на государственной границе с Республикой Узбекистан и государственной границе с Республикой Таджикистан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2020 год</w:t>
            </w:r>
          </w:p>
        </w:tc>
        <w:tc>
          <w:tcPr>
            <w:tcW w:type="dxa" w:w="2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Принимаемые фитосанитарные меры обоснованы, система фитосанитарного контроля признана эквивалентной</w:t>
            </w:r>
          </w:p>
        </w:tc>
        <w:tc>
          <w:tcPr>
            <w:tcW w:type="dxa" w:w="1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МСХППМ, ГИВФБ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 Создание надежной системы сертификации экспорта для международной торговли продукцией растительного происхождения</w:t>
            </w:r>
          </w:p>
        </w:tc>
      </w:tr>
      <w:tr>
        <w:tc>
          <w:tcPr>
            <w:tcW w:type="dxa" w:w="44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8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Регулирование экспорта</w:t>
            </w:r>
          </w:p>
        </w:tc>
        <w:tc>
          <w:tcPr>
            <w:tcW w:type="dxa" w:w="21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информационной системы "ЭЛЕК-фито"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2019 год</w:t>
            </w:r>
          </w:p>
        </w:tc>
        <w:tc>
          <w:tcPr>
            <w:tcW w:type="dxa" w:w="2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Прозрачность деятельности уполномоченного органа по контролю и надзору в сфере карантина растений, удалены коррупционные элементы</w:t>
            </w:r>
          </w:p>
        </w:tc>
        <w:tc>
          <w:tcPr>
            <w:tcW w:type="dxa" w:w="1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механизма оформления и выдачи фитосанитарных, реэкспортных фитосанитарных и карантинных сертификатов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2019-2020 годы</w:t>
            </w:r>
          </w:p>
        </w:tc>
        <w:tc>
          <w:tcPr>
            <w:tcW w:type="dxa" w:w="2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Упрощены процедуры выдачи фитосанитарных документов</w:t>
            </w:r>
          </w:p>
        </w:tc>
        <w:tc>
          <w:tcPr>
            <w:tcW w:type="dxa" w:w="1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Передача некоторых функций частным структурам, кроме выдачи фитосанитарных, реэкспортных фитосанитарных, и карантинных сертификатов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2020-2021 годы</w:t>
            </w:r>
          </w:p>
        </w:tc>
        <w:tc>
          <w:tcPr>
            <w:tcW w:type="dxa" w:w="2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Осуществлена передача функций в рамках Закона Кыргызской Республики "О государственно-частном партнерстве в Кыргызской Республике"</w:t>
            </w:r>
          </w:p>
        </w:tc>
        <w:tc>
          <w:tcPr>
            <w:tcW w:type="dxa" w:w="1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и оснащение лабораторий в Баткенской, Джалал-Абадской и Нарынской областях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2020 год</w:t>
            </w:r>
          </w:p>
        </w:tc>
        <w:tc>
          <w:tcPr>
            <w:tcW w:type="dxa" w:w="2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 потенциал лабораторий и увеличен экспорт подкарантинной продукции</w:t>
            </w:r>
          </w:p>
        </w:tc>
        <w:tc>
          <w:tcPr>
            <w:tcW w:type="dxa" w:w="1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</w:t>
            </w:r>
          </w:p>
        </w:tc>
      </w:tr>
      <w:tr>
        <w:tc>
          <w:tcPr>
            <w:tcW w:type="dxa" w:w="44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8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Зонирование</w:t>
            </w:r>
          </w:p>
        </w:tc>
        <w:tc>
          <w:tcPr>
            <w:tcW w:type="dxa" w:w="21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фитосанитарного зонирования территории Кыргызской Республики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2019 год</w:t>
            </w:r>
          </w:p>
        </w:tc>
        <w:tc>
          <w:tcPr>
            <w:tcW w:type="dxa" w:w="2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 экспорт сельскохозяйственной продукции</w:t>
            </w:r>
          </w:p>
        </w:tc>
        <w:tc>
          <w:tcPr>
            <w:tcW w:type="dxa" w:w="1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МСХППМ, ГИВФБ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перечня документов, необходимых для осуществления фитосанитарного зонирования территории Кыргызской Республики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2020 год</w:t>
            </w:r>
          </w:p>
        </w:tc>
        <w:tc>
          <w:tcPr>
            <w:tcW w:type="dxa" w:w="2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 свободный доступ на рынки продукции растительного происхождения</w:t>
            </w:r>
          </w:p>
        </w:tc>
        <w:tc>
          <w:tcPr>
            <w:tcW w:type="dxa" w:w="1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МСХППМ, ГИВФБ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 Создание соответствующей инфраструктуры в сфере карантина растений</w:t>
            </w:r>
          </w:p>
        </w:tc>
      </w:tr>
      <w:tr>
        <w:tc>
          <w:tcPr>
            <w:tcW w:type="dxa" w:w="44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8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условий для проведения качественного обследования и мониторинга</w:t>
            </w:r>
          </w:p>
        </w:tc>
        <w:tc>
          <w:tcPr>
            <w:tcW w:type="dxa" w:w="21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Оснащение современной техникой и методикой проведения обследования и мониторинга структурных подразделений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 год</w:t>
            </w:r>
          </w:p>
        </w:tc>
        <w:tc>
          <w:tcPr>
            <w:tcW w:type="dxa" w:w="2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Стабилизирована фитосанитарная обстановка</w:t>
            </w:r>
          </w:p>
        </w:tc>
        <w:tc>
          <w:tcPr>
            <w:tcW w:type="dxa" w:w="1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мобильных и стационарных фумигационных (обеззараживание) подразделений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 год</w:t>
            </w:r>
          </w:p>
        </w:tc>
        <w:tc>
          <w:tcPr>
            <w:tcW w:type="dxa" w:w="2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Обеспечено отсутствие КВО в растительной продукции</w:t>
            </w:r>
          </w:p>
        </w:tc>
        <w:tc>
          <w:tcPr>
            <w:tcW w:type="dxa" w:w="1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</w:t>
            </w:r>
          </w:p>
        </w:tc>
      </w:tr>
      <w:tr>
        <w:tc>
          <w:tcPr>
            <w:tcW w:type="dxa" w:w="44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8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эффективного инструмента принятия фитосанитарных мер в современных рыночных условиях</w:t>
            </w:r>
          </w:p>
        </w:tc>
        <w:tc>
          <w:tcPr>
            <w:tcW w:type="dxa" w:w="21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анализа действующей системы обеспечения фитосанитарной безопасности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2020 год</w:t>
            </w:r>
          </w:p>
        </w:tc>
        <w:tc>
          <w:tcPr>
            <w:tcW w:type="dxa" w:w="2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Повышено качество разрабатываемых нормативных правовых актов, своевременно выявлены проблемы в системе управления фитосанитарным риском</w:t>
            </w:r>
          </w:p>
        </w:tc>
        <w:tc>
          <w:tcPr>
            <w:tcW w:type="dxa" w:w="1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хранилища растительной продукции и КВО для обучения инспекторов по карантину растений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 год</w:t>
            </w:r>
          </w:p>
        </w:tc>
        <w:tc>
          <w:tcPr>
            <w:tcW w:type="dxa" w:w="2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Хранилище обеспечено наглядными коллекционными материалами растительной продукции и КВО</w:t>
            </w:r>
          </w:p>
        </w:tc>
        <w:tc>
          <w:tcPr>
            <w:tcW w:type="dxa" w:w="1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сети ПОО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2019-2023 годы</w:t>
            </w:r>
          </w:p>
        </w:tc>
        <w:tc>
          <w:tcPr>
            <w:tcW w:type="dxa" w:w="2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Упрощена процедура экспорта сельскохозяйственной продукции для участников внешнеэкономической деятельности</w:t>
            </w:r>
          </w:p>
        </w:tc>
        <w:tc>
          <w:tcPr>
            <w:tcW w:type="dxa" w:w="1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экспертных групп по выработке политики в области карантина растений и привлечения инвестиций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2020 год</w:t>
            </w:r>
          </w:p>
        </w:tc>
        <w:tc>
          <w:tcPr>
            <w:tcW w:type="dxa" w:w="2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Повышена эффективность менеджмента и инвестиционная привлекательность</w:t>
            </w:r>
          </w:p>
        </w:tc>
        <w:tc>
          <w:tcPr>
            <w:tcW w:type="dxa" w:w="1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интродукционно-карантинного питомника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2020 год</w:t>
            </w:r>
          </w:p>
        </w:tc>
        <w:tc>
          <w:tcPr>
            <w:tcW w:type="dxa" w:w="2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 потенциал уполномоченного органа по контролю и надзору в сфере карантина растений</w:t>
            </w:r>
          </w:p>
        </w:tc>
        <w:tc>
          <w:tcPr>
            <w:tcW w:type="dxa" w:w="1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аналитического отдела для прогнозирования фитосанитарной обстановки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2020 год</w:t>
            </w:r>
          </w:p>
        </w:tc>
        <w:tc>
          <w:tcPr>
            <w:tcW w:type="dxa" w:w="2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Своевременно предотвращено распространение КВО</w:t>
            </w:r>
          </w:p>
        </w:tc>
        <w:tc>
          <w:tcPr>
            <w:tcW w:type="dxa" w:w="1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Денежные средства для осуществления мероприятий предусматриваются за счет: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бюджетных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привлечения инвестиций международных донорских организаций, проектов и грантов;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участия уполномоченного органа по контролю и надзору в сфере карантина растений в проектах государственно-частного партнерства по направлению (услуги по обеззараживанию подкарантинной продукции, лабораторная экспертиза, консультационная служба).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Список сокращений: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КВО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карантинные вредные организмы;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АФР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Анализ фитосанитарного риска;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Стандартная операционная процедура;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МСФМ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Международные стандарты по фитосанитарным мерам;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МСХППМ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сельского хозяйства, пищевой промышленности и мелиорации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пункт отбора образцов;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НОКЗР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национальные организации по карантину и защите растений.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asmlfje_dvj2ko2fp5h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dalil.kg/document/14587</w:t>
      </w:r>
    </w:hyperlink>
  </w:p>
  <w:p>
    <w:pPr>
      <w:spacing w:after="0" w:before="40"/>
      <w:jc w:val="center"/>
    </w:pPr>
    <w:hyperlink w:history="1" r:id="rIdtlxo9y5u7cna7nkl1ta9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vepz194_mfibsa1tupwd" Type="http://schemas.openxmlformats.org/officeDocument/2006/relationships/hyperlink" Target="https://dalil.kg/document/230012641" TargetMode="External"/><Relationship Id="rIdml1vlm_buu3erlxtiibfe" Type="http://schemas.openxmlformats.org/officeDocument/2006/relationships/hyperlink" Target="https://dalil.kg/document/203685" TargetMode="External"/><Relationship Id="rIdjtl6wzufn130g91th3c6x" Type="http://schemas.openxmlformats.org/officeDocument/2006/relationships/hyperlink" Target="https://dalil.kg/document/14588" TargetMode="External"/><Relationship Id="rIdcrzznuoyfc7xvljdxpwxq" Type="http://schemas.openxmlformats.org/officeDocument/2006/relationships/hyperlink" Target="https://dalil.kg/document/14587#p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asmlfje_dvj2ko2fp5hi" Type="http://schemas.openxmlformats.org/officeDocument/2006/relationships/hyperlink" Target="https://dalil.kg/document/14587" TargetMode="External"/><Relationship Id="rIdtlxo9y5u7cna7nkl1ta9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2026-09-24T09:35:29.027Z</dcterms:created>
  <dcterms:modified xsi:type="dcterms:W3CDTF">2026-09-24T09:35:29.027Z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