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 августа 2019 года № 389</w:t>
      </w:r>
    </w:p>
    <w:p>
      <w:pPr>
        <w:spacing w:after="400" w:before="400"/>
        <w:jc w:val="center"/>
      </w:pPr>
      <w:r>
        <w:rPr>
          <w:rFonts w:ascii="Arial" w:cs="Arial" w:eastAsia="Arial" w:hAnsi="Arial"/>
          <w:b/>
          <w:bCs/>
          <w:sz w:val="28"/>
          <w:szCs w:val="28"/>
        </w:rPr>
        <w:t xml:space="preserve">О заключении Правительства Кыргызской Республики на проект Закона Кыргызской Республики "О внесении изменений в Закон Кыргызской Республики "О правах и гарантиях лиц с ограниченными возможностями здоровья"</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vkb7oh6ucdy98u4gpffym">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Одобрить прилагаемое </w:t>
      </w:r>
      <w:hyperlink w:history="1" r:id="rIdr-n7xuv3mjc7lm2vwqukc">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w:t>
      </w:r>
      <w:hyperlink w:history="1" r:id="rIdqbrv0cyn62oin_tuopit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правах и гарантиях лиц с ограниченными возможностями здоровья", инициированный депутатом Жогорку Кенеша Кыргызской Республики Бекешевым Д.Д.</w:t>
      </w:r>
    </w:p>
    <w:p>
      <w:pPr>
        <w:spacing w:after="60"/>
        <w:ind w:firstLine="567"/>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 Абылгазиев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1 августа 2019 года № 389</w:t>
      </w:r>
    </w:p>
    <w:p>
      <w:pPr>
        <w:spacing w:after="400" w:before="400"/>
        <w:jc w:val="center"/>
      </w:pPr>
      <w:r>
        <w:rPr>
          <w:rFonts w:ascii="Arial" w:cs="Arial" w:eastAsia="Arial" w:hAnsi="Arial"/>
          <w:b/>
          <w:bCs/>
          <w:sz w:val="32"/>
          <w:szCs w:val="32"/>
        </w:rPr>
        <w:t xml:space="preserve">ЗАКЛЮЧЕНИЕ</w:t>
      </w:r>
      <w:r>
        <w:rPr>
          <w:rFonts w:ascii="Arial" w:cs="Arial" w:eastAsia="Arial" w:hAnsi="Arial"/>
          <w:b/>
          <w:bCs/>
          <w:sz w:val="32"/>
          <w:szCs w:val="32"/>
        </w:rPr>
        <w:t xml:space="preserve">
 Правительства Кыргызской Республики на проект Закона Кыргызской Республики "О внесении изменений в Закон Кыргызской Республики "О правах и гарантиях лиц с ограниченными возможностями здоровья"</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okxirrbdbzmp2pmvuttmy">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внесении изменений в </w:t>
      </w:r>
      <w:hyperlink w:history="1" r:id="rId4fm6hclsr8f0ilphfseg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правах и гарантиях лиц с ограниченными возможностями здоровья" (далее - проект Закона), инициированный депутатом Жогорку Кенеша Кыргызской Республики Бекешевым Д.Д., приходит к следующему заключению.</w:t>
      </w:r>
    </w:p>
    <w:p>
      <w:pPr>
        <w:spacing w:after="60"/>
        <w:ind w:firstLine="567"/>
        <w:jc w:val="both"/>
      </w:pPr>
      <w:r>
        <w:rPr>
          <w:rFonts w:ascii="Arial" w:cs="Arial" w:eastAsia="Arial" w:hAnsi="Arial"/>
          <w:sz w:val="24"/>
          <w:szCs w:val="24"/>
        </w:rPr>
        <w:t xml:space="preserve">1. Частью 1 статьи 1 проекта Закона предусматривается часть 2 </w:t>
      </w:r>
      <w:r>
        <w:rPr>
          <w:rFonts w:ascii="Arial" w:cs="Arial" w:eastAsia="Arial" w:hAnsi="Arial"/>
          <w:sz w:val="24"/>
          <w:szCs w:val="24"/>
        </w:rPr>
        <w:t xml:space="preserve">статьи 45</w:t>
      </w:r>
      <w:r>
        <w:rPr>
          <w:rFonts w:ascii="Arial" w:cs="Arial" w:eastAsia="Arial" w:hAnsi="Arial"/>
          <w:sz w:val="24"/>
          <w:szCs w:val="24"/>
        </w:rPr>
        <w:t xml:space="preserve"> </w:t>
      </w:r>
      <w:hyperlink w:history="1" r:id="rIdq50crsxv0_51ip_95swt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правах и гарантиях лиц с ограниченными возможностями здоровья" изложить в новой редакции, согласно которой устанавливается, что "доступ к существующей инфраструктуре обеспечивается собственником или иным владельцем инфраструктуры в соответствии с нормативными правовыми актами, регулирующими вопросы доступности для лиц с ограниченными возможностями здоровья, а при их отсутствии на основании рекомендаций Совета по доступности соответствующего уровня. Совет по доступности соответствующего уровня должен предлагать экономичные и современные способы адаптации действующей инфраструктуры для лиц с ограниченными возможностями здоровья".</w:t>
      </w:r>
    </w:p>
    <w:p>
      <w:pPr>
        <w:spacing w:after="60"/>
        <w:ind w:firstLine="567"/>
        <w:jc w:val="both"/>
      </w:pPr>
      <w:r>
        <w:rPr>
          <w:rFonts w:ascii="Arial" w:cs="Arial" w:eastAsia="Arial" w:hAnsi="Arial"/>
          <w:sz w:val="24"/>
          <w:szCs w:val="24"/>
        </w:rPr>
        <w:t xml:space="preserve">Также частью 2 статьи 1 проекта Закона предлагается вышеуказанный </w:t>
      </w:r>
      <w:hyperlink w:history="1" r:id="rIdi5f9xdzjfwup_kodilod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дополнить статьей 45-1, предусматривающей регламентацию полномочий и деятельности Совета по доступности, формируемого Правительством и исполнительным органом местного самоуправления.</w:t>
      </w:r>
    </w:p>
    <w:p>
      <w:pPr>
        <w:spacing w:after="60"/>
        <w:ind w:firstLine="567"/>
        <w:jc w:val="both"/>
      </w:pPr>
      <w:r>
        <w:rPr>
          <w:rFonts w:ascii="Arial" w:cs="Arial" w:eastAsia="Arial" w:hAnsi="Arial"/>
          <w:sz w:val="24"/>
          <w:szCs w:val="24"/>
        </w:rPr>
        <w:t xml:space="preserve">Так, согласно указанной статье проекта Закона "Совет по доступности, формируемый Правительством, вправе давать рекомендации по способам создания условий инфраструктуры, строящейся или построенной за счет республиканского бюджета, и направлять материалы в соответствующие государственные органы, а также давать рекомендации по обеспечению условий доступности различных сфер жизнедеятельности для лиц с ограниченными возможностями здоровья".</w:t>
      </w:r>
    </w:p>
    <w:p>
      <w:pPr>
        <w:spacing w:after="60"/>
        <w:ind w:firstLine="567"/>
        <w:jc w:val="both"/>
      </w:pPr>
      <w:r>
        <w:rPr>
          <w:rFonts w:ascii="Arial" w:cs="Arial" w:eastAsia="Arial" w:hAnsi="Arial"/>
          <w:sz w:val="24"/>
          <w:szCs w:val="24"/>
        </w:rPr>
        <w:t xml:space="preserve">Вместе с тем, считаем, что условия доступности лиц с ограниченными возможностями здоровья к инфраструктуре должны содержаться в соответствующих нормативных правовых актах, быть четко регламентированы и носить обязательный характер для всех участников правовых отношений.</w:t>
      </w:r>
    </w:p>
    <w:p>
      <w:pPr>
        <w:spacing w:after="60"/>
        <w:ind w:firstLine="567"/>
        <w:jc w:val="both"/>
      </w:pPr>
      <w:r>
        <w:rPr>
          <w:rFonts w:ascii="Arial" w:cs="Arial" w:eastAsia="Arial" w:hAnsi="Arial"/>
          <w:sz w:val="24"/>
          <w:szCs w:val="24"/>
        </w:rPr>
        <w:t xml:space="preserve">Однако следует отметить, что согласно проекту Закона решения Совета по доступности носят рекомендательный характер и не являются обязательными для исполнения собственниками или иными владельцами инфраструктуры, что, в свою очередь, затруднит их реализацию в правоприменительной практике.</w:t>
      </w:r>
    </w:p>
    <w:p>
      <w:pPr>
        <w:spacing w:after="60"/>
        <w:ind w:firstLine="567"/>
        <w:jc w:val="both"/>
      </w:pPr>
      <w:r>
        <w:rPr>
          <w:rFonts w:ascii="Arial" w:cs="Arial" w:eastAsia="Arial" w:hAnsi="Arial"/>
          <w:sz w:val="24"/>
          <w:szCs w:val="24"/>
        </w:rPr>
        <w:t xml:space="preserve">Вместе с тем следует принять во внимание, что согласно </w:t>
      </w:r>
      <w:r>
        <w:rPr>
          <w:rFonts w:ascii="Arial" w:cs="Arial" w:eastAsia="Arial" w:hAnsi="Arial"/>
          <w:sz w:val="24"/>
          <w:szCs w:val="24"/>
        </w:rPr>
        <w:t xml:space="preserve">статье 43</w:t>
      </w:r>
      <w:r>
        <w:rPr>
          <w:rFonts w:ascii="Arial" w:cs="Arial" w:eastAsia="Arial" w:hAnsi="Arial"/>
          <w:sz w:val="24"/>
          <w:szCs w:val="24"/>
        </w:rPr>
        <w:t xml:space="preserve"> </w:t>
      </w:r>
      <w:hyperlink w:history="1" r:id="rIdpid68h31dvraz9otnos9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правах и гарантиях лиц с ограниченными возможностями здоровья" органы государственной власти, местные государственные администрации и органы местного самоуправления, юридические лица независимо от форм собственности обязаны создавать условия лицам с ограниченными возможностями здоровья для доступа к жилым, общественным, административным и производственным зданиям, сооружениям и помещениям, местам отдыха и другим культурно-зрелищным учреждениям, а также беспрепятственного пользования общественным транспортом и транспортными коммуникациями, средствами связи и информации, свободной ориентации и передвижения.</w:t>
      </w:r>
    </w:p>
    <w:p>
      <w:pPr>
        <w:spacing w:after="60"/>
        <w:ind w:firstLine="567"/>
        <w:jc w:val="both"/>
      </w:pPr>
      <w:r>
        <w:rPr>
          <w:rFonts w:ascii="Arial" w:cs="Arial" w:eastAsia="Arial" w:hAnsi="Arial"/>
          <w:sz w:val="24"/>
          <w:szCs w:val="24"/>
        </w:rPr>
        <w:t xml:space="preserve">Также отмечаем, что согласно части 1 </w:t>
      </w:r>
      <w:r>
        <w:rPr>
          <w:rFonts w:ascii="Arial" w:cs="Arial" w:eastAsia="Arial" w:hAnsi="Arial"/>
          <w:sz w:val="24"/>
          <w:szCs w:val="24"/>
        </w:rPr>
        <w:t xml:space="preserve">статьи 45</w:t>
      </w:r>
      <w:r>
        <w:rPr>
          <w:rFonts w:ascii="Arial" w:cs="Arial" w:eastAsia="Arial" w:hAnsi="Arial"/>
          <w:sz w:val="24"/>
          <w:szCs w:val="24"/>
        </w:rPr>
        <w:t xml:space="preserve"> вышеуказанного </w:t>
      </w:r>
      <w:hyperlink w:history="1" r:id="rIdmsn16c1dz8gp5ykuwsh8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юридические лица независимо от форм собственности обязаны обеспечить необходимые условия на объектах инфраструктуры, находящихся в их собственности или ведении, для доступа лиц с ограниченными возможностями здоровья.</w:t>
      </w:r>
    </w:p>
    <w:p>
      <w:pPr>
        <w:spacing w:after="60"/>
        <w:ind w:firstLine="567"/>
        <w:jc w:val="both"/>
      </w:pPr>
      <w:r>
        <w:rPr>
          <w:rFonts w:ascii="Arial" w:cs="Arial" w:eastAsia="Arial" w:hAnsi="Arial"/>
          <w:sz w:val="24"/>
          <w:szCs w:val="24"/>
        </w:rPr>
        <w:t xml:space="preserve">С учетом изложенного предлагаем положения части 1 и 2 статьи 1 проекта Закона проанализировать и пересмотреть, в части целесообразности создания Совета по доступности.</w:t>
      </w:r>
    </w:p>
    <w:p>
      <w:pPr>
        <w:spacing w:after="60"/>
        <w:ind w:firstLine="567"/>
        <w:jc w:val="both"/>
      </w:pPr>
      <w:r>
        <w:rPr>
          <w:rFonts w:ascii="Arial" w:cs="Arial" w:eastAsia="Arial" w:hAnsi="Arial"/>
          <w:sz w:val="24"/>
          <w:szCs w:val="24"/>
        </w:rPr>
        <w:t xml:space="preserve">2. Частью 3 статьи 1 проекта Закона предлагается </w:t>
      </w:r>
      <w:hyperlink w:history="1" r:id="rIdhwrqzux0eknxphtorjde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правах и гарантиях лиц с ограниченными возможностями здоровья" дополнить главой 8-1, регламентирующей вопросы организации, создания и ведения государственного реестра лиц с ограниченными возможностями здоровья.</w:t>
      </w:r>
    </w:p>
    <w:p>
      <w:pPr>
        <w:spacing w:after="60"/>
        <w:ind w:firstLine="567"/>
        <w:jc w:val="both"/>
      </w:pPr>
      <w:r>
        <w:rPr>
          <w:rFonts w:ascii="Arial" w:cs="Arial" w:eastAsia="Arial" w:hAnsi="Arial"/>
          <w:sz w:val="24"/>
          <w:szCs w:val="24"/>
        </w:rPr>
        <w:t xml:space="preserve">Вместе с тем в справке-обосновании к проекту Закона отмечается, что введение реестра лиц с инвалидностью на начальном этапе потребует расходов из республиканского бюджета. При этом указывается, что произвести точный расчет расходов невозможно, так как определенная работа по созданию базы данных проводится государственными органами в рамках реализации проекта по созданию электронного Правительства, в связи с чем в предоставленной справке-обосновании к проекту Закона отсутствуют финансово-экономические расчеты и не определены источники финансирования.</w:t>
      </w:r>
    </w:p>
    <w:p>
      <w:pPr>
        <w:spacing w:after="60"/>
        <w:ind w:firstLine="567"/>
        <w:jc w:val="both"/>
      </w:pPr>
      <w:r>
        <w:rPr>
          <w:rFonts w:ascii="Arial" w:cs="Arial" w:eastAsia="Arial" w:hAnsi="Arial"/>
          <w:sz w:val="24"/>
          <w:szCs w:val="24"/>
        </w:rPr>
        <w:t xml:space="preserve">В этой связи необходимо отметить, что согласно </w:t>
      </w:r>
      <w:r>
        <w:rPr>
          <w:rFonts w:ascii="Arial" w:cs="Arial" w:eastAsia="Arial" w:hAnsi="Arial"/>
          <w:sz w:val="24"/>
          <w:szCs w:val="24"/>
        </w:rPr>
        <w:t xml:space="preserve">статье 25</w:t>
      </w:r>
      <w:r>
        <w:rPr>
          <w:rFonts w:ascii="Arial" w:cs="Arial" w:eastAsia="Arial" w:hAnsi="Arial"/>
          <w:sz w:val="24"/>
          <w:szCs w:val="24"/>
        </w:rPr>
        <w:t xml:space="preserve"> </w:t>
      </w:r>
      <w:hyperlink w:history="1" r:id="rIdle8ozeak5fw4intgcjdh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справка-обоснование проекта нормативного правового акта должна содержать наличие источников его финансирования.</w:t>
      </w:r>
    </w:p>
    <w:p>
      <w:pPr>
        <w:spacing w:after="60"/>
        <w:ind w:firstLine="567"/>
        <w:jc w:val="both"/>
      </w:pPr>
      <w:r>
        <w:rPr>
          <w:rFonts w:ascii="Arial" w:cs="Arial" w:eastAsia="Arial" w:hAnsi="Arial"/>
          <w:sz w:val="24"/>
          <w:szCs w:val="24"/>
        </w:rPr>
        <w:t xml:space="preserve">В связи с этим предлагаем произвести расчет потребности в финансовых средствах для реализации данного проекта Закона, и справку-обоснование к проекту Закона дополнить информацией о наличии источников финансирования, с приложением соответствующих финансово-экономических расчетов.</w:t>
      </w:r>
    </w:p>
    <w:p>
      <w:pPr>
        <w:spacing w:after="60"/>
        <w:ind w:firstLine="567"/>
        <w:jc w:val="both"/>
      </w:pPr>
      <w:r>
        <w:rPr>
          <w:rFonts w:ascii="Arial" w:cs="Arial" w:eastAsia="Arial" w:hAnsi="Arial"/>
          <w:sz w:val="24"/>
          <w:szCs w:val="24"/>
        </w:rPr>
        <w:t xml:space="preserve">Учитывая вышеизложенное, необходимо отметить, что согласно части 3 </w:t>
      </w:r>
      <w:r>
        <w:rPr>
          <w:rFonts w:ascii="Arial" w:cs="Arial" w:eastAsia="Arial" w:hAnsi="Arial"/>
          <w:sz w:val="24"/>
          <w:szCs w:val="24"/>
        </w:rPr>
        <w:t xml:space="preserve">статьи 80</w:t>
      </w:r>
      <w:r>
        <w:rPr>
          <w:rFonts w:ascii="Arial" w:cs="Arial" w:eastAsia="Arial" w:hAnsi="Arial"/>
          <w:sz w:val="24"/>
          <w:szCs w:val="24"/>
        </w:rPr>
        <w:t xml:space="preserve"> </w:t>
      </w:r>
      <w:hyperlink w:history="1" r:id="rIdzubyicge6uqsbm3vlguy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проекты законов, предусматривающие увеличение расходов, покрываемых за счет государственного бюджета, могут быть приняты Жогорку Кенешем Кыргызской Республики после определения Правительством Кыргызской Республики источника финансирования.</w:t>
      </w:r>
    </w:p>
    <w:p>
      <w:pPr>
        <w:spacing w:after="60"/>
        <w:ind w:firstLine="567"/>
        <w:jc w:val="both"/>
      </w:pPr>
      <w:r>
        <w:rPr>
          <w:rFonts w:ascii="Arial" w:cs="Arial" w:eastAsia="Arial" w:hAnsi="Arial"/>
          <w:sz w:val="24"/>
          <w:szCs w:val="24"/>
        </w:rPr>
        <w:t xml:space="preserve">Также следует учесть, что согласно </w:t>
      </w:r>
      <w:r>
        <w:rPr>
          <w:rFonts w:ascii="Arial" w:cs="Arial" w:eastAsia="Arial" w:hAnsi="Arial"/>
          <w:sz w:val="24"/>
          <w:szCs w:val="24"/>
        </w:rPr>
        <w:t xml:space="preserve">статье 26</w:t>
      </w:r>
      <w:r>
        <w:rPr>
          <w:rFonts w:ascii="Arial" w:cs="Arial" w:eastAsia="Arial" w:hAnsi="Arial"/>
          <w:sz w:val="24"/>
          <w:szCs w:val="24"/>
        </w:rPr>
        <w:t xml:space="preserve"> </w:t>
      </w:r>
      <w:hyperlink w:history="1" r:id="rIdqioflm7c_fuqafwrndgq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нормативные правовые акты, реализация которых влечет финансирование из государственного бюджета, не подлежат принятию до определения по ним источника финансирования.</w:t>
      </w:r>
    </w:p>
    <w:p>
      <w:pPr>
        <w:spacing w:after="60"/>
        <w:ind w:firstLine="567"/>
        <w:jc w:val="both"/>
      </w:pPr>
      <w:r>
        <w:rPr>
          <w:rFonts w:ascii="Arial" w:cs="Arial" w:eastAsia="Arial" w:hAnsi="Arial"/>
          <w:sz w:val="24"/>
          <w:szCs w:val="24"/>
        </w:rPr>
        <w:t xml:space="preserve">3. В тексте проекта Закона (части 2 и 3 статьи 1) используются обобщенные и неконкретные формулировки, а также бланкетные ссылки, такие как "иные полномочия, определяемые Правительством", "иные полномочия, определяемые исполнительными органами местного самоуправления", "иным удобным для них способом", "в иных целях, предусмотренных законодательством", "иных компенсациях или льготах", "иные сведения, определяемые Правительством", "иных специальных средствах", которые способствуют появлению коррупционных проявлений в правоприменительной практике, поскольку предоставляют соответствующему субъекту широкие дискреционные полномочия.</w:t>
      </w:r>
    </w:p>
    <w:p>
      <w:pPr>
        <w:spacing w:after="60"/>
        <w:ind w:firstLine="567"/>
        <w:jc w:val="both"/>
      </w:pPr>
      <w:r>
        <w:rPr>
          <w:rFonts w:ascii="Arial" w:cs="Arial" w:eastAsia="Arial" w:hAnsi="Arial"/>
          <w:sz w:val="24"/>
          <w:szCs w:val="24"/>
        </w:rPr>
        <w:t xml:space="preserve">В связи с этим, а также учитывая, что согласно пункту 78 </w:t>
      </w:r>
      <w:hyperlink w:history="1" r:id="rIdvkbrdonx23jt5tmyafkqq">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законодательной технике, утвержденной </w:t>
      </w:r>
      <w:hyperlink w:history="1" r:id="rIdsefwjhkynnu4ds4o7wi7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 не допускаются бланкетные ссылки на законодательство в целом, предлагаем соответствующие положения проекта Закона пересмотреть и конкретизировать.</w:t>
      </w:r>
    </w:p>
    <w:p>
      <w:pPr>
        <w:spacing w:after="60"/>
        <w:ind w:firstLine="567"/>
        <w:jc w:val="both"/>
      </w:pPr>
      <w:r>
        <w:rPr>
          <w:rFonts w:ascii="Arial" w:cs="Arial" w:eastAsia="Arial" w:hAnsi="Arial"/>
          <w:sz w:val="24"/>
          <w:szCs w:val="24"/>
        </w:rPr>
        <w:t xml:space="preserve">4. Частью 2 статьи 2 проекта Закона Правительству Кыргызской Республики поручается привести свои нормативные правовые акты в соответствие с данным Законом, а также организовать работу по формированию реестра лиц с инвалидностью.</w:t>
      </w:r>
    </w:p>
    <w:p>
      <w:pPr>
        <w:spacing w:after="60"/>
        <w:ind w:firstLine="567"/>
        <w:jc w:val="both"/>
      </w:pPr>
      <w:r>
        <w:rPr>
          <w:rFonts w:ascii="Arial" w:cs="Arial" w:eastAsia="Arial" w:hAnsi="Arial"/>
          <w:sz w:val="24"/>
          <w:szCs w:val="24"/>
        </w:rPr>
        <w:t xml:space="preserve">При этом, в соответствии со </w:t>
      </w:r>
      <w:r>
        <w:rPr>
          <w:rFonts w:ascii="Arial" w:cs="Arial" w:eastAsia="Arial" w:hAnsi="Arial"/>
          <w:sz w:val="24"/>
          <w:szCs w:val="24"/>
        </w:rPr>
        <w:t xml:space="preserve">статьей 24</w:t>
      </w:r>
      <w:r>
        <w:rPr>
          <w:rFonts w:ascii="Arial" w:cs="Arial" w:eastAsia="Arial" w:hAnsi="Arial"/>
          <w:sz w:val="24"/>
          <w:szCs w:val="24"/>
        </w:rPr>
        <w:t xml:space="preserve"> </w:t>
      </w:r>
      <w:hyperlink w:history="1" r:id="rIdgtqq7_mgfqqag6vrepef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в случаях если для применения нормативного правового акта необходимо внесение изменений и дополнений в другие нормативные правовые акты, к вносимому проекту нормативного правового акта должны быть приложены проекты нормативных правовых актов с указанными изменениями и дополнениями.</w:t>
      </w:r>
    </w:p>
    <w:p>
      <w:pPr>
        <w:spacing w:after="60"/>
        <w:ind w:firstLine="567"/>
        <w:jc w:val="both"/>
      </w:pPr>
      <w:r>
        <w:rPr>
          <w:rFonts w:ascii="Arial" w:cs="Arial" w:eastAsia="Arial" w:hAnsi="Arial"/>
          <w:sz w:val="24"/>
          <w:szCs w:val="24"/>
        </w:rPr>
        <w:t xml:space="preserve">Вместе с тем, информация о нормативных правовых актах, подлежащих пересмотру в случае принятия рассматриваемого проекта Закона, не отражена в справке-обосновании к проекту Закона.</w:t>
      </w:r>
    </w:p>
    <w:p>
      <w:pPr>
        <w:spacing w:after="60"/>
        <w:ind w:firstLine="567"/>
        <w:jc w:val="both"/>
      </w:pPr>
      <w:r>
        <w:rPr>
          <w:rFonts w:ascii="Arial" w:cs="Arial" w:eastAsia="Arial" w:hAnsi="Arial"/>
          <w:sz w:val="24"/>
          <w:szCs w:val="24"/>
        </w:rPr>
        <w:t xml:space="preserve">В связи с этим справку-обоснование к проекту Закона предлагаем доработать в соответствии с требованиями </w:t>
      </w:r>
      <w:r>
        <w:rPr>
          <w:rFonts w:ascii="Arial" w:cs="Arial" w:eastAsia="Arial" w:hAnsi="Arial"/>
          <w:sz w:val="24"/>
          <w:szCs w:val="24"/>
        </w:rPr>
        <w:t xml:space="preserve">статьи 25</w:t>
      </w:r>
      <w:r>
        <w:rPr>
          <w:rFonts w:ascii="Arial" w:cs="Arial" w:eastAsia="Arial" w:hAnsi="Arial"/>
          <w:sz w:val="24"/>
          <w:szCs w:val="24"/>
        </w:rPr>
        <w:t xml:space="preserve"> </w:t>
      </w:r>
      <w:hyperlink w:history="1" r:id="rIdxkcc0wgdekbld-tiwfh_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w:t>
      </w:r>
    </w:p>
    <w:p>
      <w:pPr>
        <w:spacing w:after="60"/>
        <w:ind w:firstLine="567"/>
        <w:jc w:val="both"/>
      </w:pPr>
      <w:r>
        <w:rPr>
          <w:rFonts w:ascii="Arial" w:cs="Arial" w:eastAsia="Arial" w:hAnsi="Arial"/>
          <w:sz w:val="24"/>
          <w:szCs w:val="24"/>
        </w:rPr>
        <w:t xml:space="preserve">5. Помимо этого, в рамках проекта Закона предлагаем одновременно рассмотреть возможность внесения соответствующих поправок в </w:t>
      </w:r>
      <w:r>
        <w:rPr>
          <w:rFonts w:ascii="Arial" w:cs="Arial" w:eastAsia="Arial" w:hAnsi="Arial"/>
          <w:sz w:val="24"/>
          <w:szCs w:val="24"/>
        </w:rPr>
        <w:t xml:space="preserve">статью 25</w:t>
      </w:r>
      <w:r>
        <w:rPr>
          <w:rFonts w:ascii="Arial" w:cs="Arial" w:eastAsia="Arial" w:hAnsi="Arial"/>
          <w:sz w:val="24"/>
          <w:szCs w:val="24"/>
        </w:rPr>
        <w:t xml:space="preserve"> </w:t>
      </w:r>
      <w:hyperlink w:history="1" r:id="rId4z3dogk4qnmg1y7vusn7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правах и гарантиях лиц с ограниченными возможностями здоровья".</w:t>
      </w:r>
    </w:p>
    <w:p>
      <w:pPr>
        <w:spacing w:after="60"/>
        <w:ind w:firstLine="567"/>
        <w:jc w:val="both"/>
      </w:pPr>
      <w:r>
        <w:rPr>
          <w:rFonts w:ascii="Arial" w:cs="Arial" w:eastAsia="Arial" w:hAnsi="Arial"/>
          <w:sz w:val="24"/>
          <w:szCs w:val="24"/>
        </w:rPr>
        <w:t xml:space="preserve">Данное предложение обусловлено тем, что </w:t>
      </w:r>
      <w:r>
        <w:rPr>
          <w:rFonts w:ascii="Arial" w:cs="Arial" w:eastAsia="Arial" w:hAnsi="Arial"/>
          <w:sz w:val="24"/>
          <w:szCs w:val="24"/>
        </w:rPr>
        <w:t xml:space="preserve">статья 25</w:t>
      </w:r>
      <w:r>
        <w:rPr>
          <w:rFonts w:ascii="Arial" w:cs="Arial" w:eastAsia="Arial" w:hAnsi="Arial"/>
          <w:sz w:val="24"/>
          <w:szCs w:val="24"/>
        </w:rPr>
        <w:t xml:space="preserve"> указанного </w:t>
      </w:r>
      <w:hyperlink w:history="1" r:id="rIdpi7afdfy7iztz9xajqzx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ограничивает сроки предоставления санаторно-курортных путевок лицам с ограниченными возможностями здоровья - один раз в 5 лет, что является барьером для получения путевок на санаторно-курортное лечение лицам с ограниченными возможностями здоровья, которые остро нуждаются в санаторно-курортном лечении по состоянию здоровья.</w:t>
      </w:r>
    </w:p>
    <w:p>
      <w:pPr>
        <w:spacing w:after="60"/>
        <w:ind w:firstLine="567"/>
        <w:jc w:val="both"/>
      </w:pPr>
      <w:r>
        <w:rPr>
          <w:rFonts w:ascii="Arial" w:cs="Arial" w:eastAsia="Arial" w:hAnsi="Arial"/>
          <w:sz w:val="24"/>
          <w:szCs w:val="24"/>
        </w:rPr>
        <w:t xml:space="preserve">В связи с этим, в целях совершенствования процедур санаторно-курортного лечения лиц с ограниченными возможностями здоровья предлагаем </w:t>
      </w:r>
      <w:r>
        <w:rPr>
          <w:rFonts w:ascii="Arial" w:cs="Arial" w:eastAsia="Arial" w:hAnsi="Arial"/>
          <w:sz w:val="24"/>
          <w:szCs w:val="24"/>
        </w:rPr>
        <w:t xml:space="preserve">статью 25</w:t>
      </w:r>
      <w:r>
        <w:rPr>
          <w:rFonts w:ascii="Arial" w:cs="Arial" w:eastAsia="Arial" w:hAnsi="Arial"/>
          <w:sz w:val="24"/>
          <w:szCs w:val="24"/>
        </w:rPr>
        <w:t xml:space="preserve"> вышеназванного </w:t>
      </w:r>
      <w:hyperlink w:history="1" r:id="rIdcwzg5wyoe96st5g943u1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"Статья 25. Санаторно-курортное лечение лиц с ограниченными возможностями здоровья</w:t>
      </w:r>
    </w:p>
    <w:p>
      <w:pPr>
        <w:spacing w:after="60"/>
        <w:ind w:firstLine="567"/>
        <w:jc w:val="both"/>
      </w:pPr>
      <w:r>
        <w:rPr>
          <w:rFonts w:ascii="Arial" w:cs="Arial" w:eastAsia="Arial" w:hAnsi="Arial"/>
          <w:sz w:val="24"/>
          <w:szCs w:val="24"/>
        </w:rPr>
        <w:t xml:space="preserve">Санаторно-курортное лечение лиц с ограниченными возможностями здоровья обеспечивается органами социальной защиты по месту жительства заявителя.</w:t>
      </w:r>
    </w:p>
    <w:p>
      <w:pPr>
        <w:spacing w:after="60"/>
        <w:ind w:firstLine="567"/>
        <w:jc w:val="both"/>
      </w:pPr>
      <w:r>
        <w:rPr>
          <w:rFonts w:ascii="Arial" w:cs="Arial" w:eastAsia="Arial" w:hAnsi="Arial"/>
          <w:sz w:val="24"/>
          <w:szCs w:val="24"/>
        </w:rPr>
        <w:t xml:space="preserve">Путевки на санаторно-курортное лечение лицам с ограниченными возможностями здоровья предоставляются за счет средств республиканского бюджета.</w:t>
      </w:r>
    </w:p>
    <w:p>
      <w:pPr>
        <w:spacing w:after="60"/>
        <w:ind w:firstLine="567"/>
        <w:jc w:val="both"/>
      </w:pPr>
      <w:r>
        <w:rPr>
          <w:rFonts w:ascii="Arial" w:cs="Arial" w:eastAsia="Arial" w:hAnsi="Arial"/>
          <w:sz w:val="24"/>
          <w:szCs w:val="24"/>
        </w:rPr>
        <w:t xml:space="preserve">Порядок и сроки предоставления путевок на санаторно-курортное лечение лицам с ограниченными возможностями здоровья определяются Правительством Кыргызской Республики.".</w:t>
      </w:r>
    </w:p>
    <w:p>
      <w:pPr>
        <w:spacing w:after="60"/>
        <w:ind w:firstLine="567"/>
        <w:jc w:val="both"/>
      </w:pPr>
      <w:r>
        <w:rPr>
          <w:rFonts w:ascii="Arial" w:cs="Arial" w:eastAsia="Arial" w:hAnsi="Arial"/>
          <w:sz w:val="24"/>
          <w:szCs w:val="24"/>
        </w:rPr>
        <w:t xml:space="preserve">Дополнительно, в порядке информации, сообщаем, что Правительством Кыргызской Республики принимаются комплексные меры, направленные на создание условий для интеграции в общество лиц с ограниченными возможностями здоровья, обеспечивающих их доступ к инфраструктуре.</w:t>
      </w:r>
    </w:p>
    <w:p>
      <w:pPr>
        <w:spacing w:after="60"/>
        <w:ind w:firstLine="567"/>
        <w:jc w:val="both"/>
      </w:pPr>
      <w:r>
        <w:rPr>
          <w:rFonts w:ascii="Arial" w:cs="Arial" w:eastAsia="Arial" w:hAnsi="Arial"/>
          <w:sz w:val="24"/>
          <w:szCs w:val="24"/>
        </w:rPr>
        <w:t xml:space="preserve">В целях защиты прав и улучшения качества жизни лиц с ограниченными возможностями здоровья принят </w:t>
      </w:r>
      <w:hyperlink w:history="1" r:id="rIdfracodxuvuhqu3xullcs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ратификации </w:t>
      </w:r>
      <w:r>
        <w:rPr>
          <w:rFonts w:ascii="Arial" w:cs="Arial" w:eastAsia="Arial" w:hAnsi="Arial"/>
          <w:sz w:val="24"/>
          <w:szCs w:val="24"/>
        </w:rPr>
        <w:t xml:space="preserve">Конвенции</w:t>
      </w:r>
      <w:r>
        <w:rPr>
          <w:rFonts w:ascii="Arial" w:cs="Arial" w:eastAsia="Arial" w:hAnsi="Arial"/>
          <w:sz w:val="24"/>
          <w:szCs w:val="24"/>
        </w:rPr>
        <w:t xml:space="preserve"> Организации Объединенных Наций о правах инвалидов, принятой Генеральной Ассамблеей Организации Объединенных Наций 13 декабря 2006 года и подписанной 21 сентября 2011 года" от 13 марта 2019 года № 34, инициированный Правительством Кыргызской Республики.</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1</w:t>
      </w:r>
      <w:r>
        <w:rPr>
          <w:rFonts w:ascii="Arial" w:cs="Arial" w:eastAsia="Arial" w:hAnsi="Arial"/>
          <w:sz w:val="24"/>
          <w:szCs w:val="24"/>
        </w:rPr>
        <w:t xml:space="preserve"> вышеназванной Конвенции государства-участники обязуются обеспечивать и поощрять полную реализацию всех прав человека и основных свобод всеми инвалидами без какой бы то ни было дискриминации по признаку инвалидности. С этой целью государства-участники обязуются принимать все надлежащие законодательные, административные и иные меры для осуществления прав, предусматриваемых в указанной Конвенции.</w:t>
      </w:r>
    </w:p>
    <w:p>
      <w:pPr>
        <w:spacing w:after="60"/>
        <w:ind w:firstLine="567"/>
        <w:jc w:val="both"/>
      </w:pPr>
      <w:r>
        <w:rPr>
          <w:rFonts w:ascii="Arial" w:cs="Arial" w:eastAsia="Arial" w:hAnsi="Arial"/>
          <w:sz w:val="24"/>
          <w:szCs w:val="24"/>
        </w:rPr>
        <w:t xml:space="preserve">В целях реализации положений </w:t>
      </w:r>
      <w:r>
        <w:rPr>
          <w:rFonts w:ascii="Arial" w:cs="Arial" w:eastAsia="Arial" w:hAnsi="Arial"/>
          <w:sz w:val="24"/>
          <w:szCs w:val="24"/>
        </w:rPr>
        <w:t xml:space="preserve">Конвенции</w:t>
      </w:r>
      <w:r>
        <w:rPr>
          <w:rFonts w:ascii="Arial" w:cs="Arial" w:eastAsia="Arial" w:hAnsi="Arial"/>
          <w:sz w:val="24"/>
          <w:szCs w:val="24"/>
        </w:rPr>
        <w:t xml:space="preserve"> ООН о правах инвалидов </w:t>
      </w:r>
      <w:hyperlink w:history="1" r:id="rIdwxgvk3wzy_ujy7wxhqewx">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21 мая 2019 года № 143-р образована межведомственная рабочая группа по реализации положений Конвенции ООН о правах инвалидов.</w:t>
      </w:r>
    </w:p>
    <w:p>
      <w:pPr>
        <w:spacing w:after="60"/>
        <w:ind w:firstLine="567"/>
        <w:jc w:val="both"/>
      </w:pPr>
      <w:r>
        <w:rPr>
          <w:rFonts w:ascii="Arial" w:cs="Arial" w:eastAsia="Arial" w:hAnsi="Arial"/>
          <w:sz w:val="24"/>
          <w:szCs w:val="24"/>
        </w:rPr>
        <w:t xml:space="preserve">Указанной межведомственной рабочей группе поручено разработать проект Плана первоочередных мер по реализации положений Конвенции о правах инвалидов на 2019-2022 годы, а также проект Программы "Доступная страна", направленный на устранение дискриминации инвалидов в различных сферах общественной жизни и создание доступной инфраструктуры в городах, районах и селах республики, с определением источников финансирования.</w:t>
      </w:r>
    </w:p>
    <w:p>
      <w:pPr>
        <w:spacing w:after="60"/>
        <w:ind w:firstLine="567"/>
        <w:jc w:val="both"/>
      </w:pPr>
      <w:r>
        <w:rPr>
          <w:rFonts w:ascii="Arial" w:cs="Arial" w:eastAsia="Arial" w:hAnsi="Arial"/>
          <w:sz w:val="24"/>
          <w:szCs w:val="24"/>
        </w:rPr>
        <w:t xml:space="preserve">В рамках реализации </w:t>
      </w:r>
      <w:r>
        <w:rPr>
          <w:rFonts w:ascii="Arial" w:cs="Arial" w:eastAsia="Arial" w:hAnsi="Arial"/>
          <w:sz w:val="24"/>
          <w:szCs w:val="24"/>
        </w:rPr>
        <w:t xml:space="preserve">Конвенции</w:t>
      </w:r>
      <w:r>
        <w:rPr>
          <w:rFonts w:ascii="Arial" w:cs="Arial" w:eastAsia="Arial" w:hAnsi="Arial"/>
          <w:sz w:val="24"/>
          <w:szCs w:val="24"/>
        </w:rPr>
        <w:t xml:space="preserve"> ООН о правах инвалидов Правительством Кыргызской Республики будут приняты соответствующие меры по имплементации и приведению законодательства Кыргызской Республики в соответствие с данной Конвенцией, а также в приоритетном порядке рассмотрены вопросы обеспечения доступа лиц с ограниченными возможностями здоровья к объектам инфраструктуры, что соответствует целям предлагаемого проекта Закона.</w:t>
      </w:r>
    </w:p>
    <w:p>
      <w:pPr>
        <w:spacing w:after="60"/>
        <w:ind w:firstLine="567"/>
        <w:jc w:val="both"/>
      </w:pPr>
      <w:r>
        <w:rPr>
          <w:rFonts w:ascii="Arial" w:cs="Arial" w:eastAsia="Arial" w:hAnsi="Arial"/>
          <w:sz w:val="24"/>
          <w:szCs w:val="24"/>
        </w:rPr>
        <w:t xml:space="preserve">В целом отмечаем, что представленный законопроект нуждается в тщательной доработке, а также в приведении в соответствие с правилами нормотворческой техники, установленными </w:t>
      </w:r>
      <w:hyperlink w:history="1" r:id="rIdtpdwfsvjyzyoukptssko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 и </w:t>
      </w:r>
      <w:hyperlink w:history="1" r:id="rIdvaxjgfrxv9coaotsetamz">
        <w:r>
          <w:rPr>
            <w:rFonts w:ascii="Arial" w:cs="Arial" w:eastAsia="Arial" w:hAnsi="Arial"/>
            <w:color w:val="1D4ED8"/>
            <w:sz w:val="24"/>
            <w:szCs w:val="24"/>
            <w:u w:val="single"/>
          </w:rPr>
          <w:t xml:space="preserve">Инструкцией</w:t>
        </w:r>
      </w:hyperlink>
      <w:r>
        <w:rPr>
          <w:rFonts w:ascii="Arial" w:cs="Arial" w:eastAsia="Arial" w:hAnsi="Arial"/>
          <w:sz w:val="24"/>
          <w:szCs w:val="24"/>
        </w:rPr>
        <w:t xml:space="preserve"> по законодательной технике, утвержденной </w:t>
      </w:r>
      <w:hyperlink w:history="1" r:id="rIddbchhruamwbjui_0ryva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считает целесообразным доработать представленный проект Закона, с учетом замечаний и предложений, изложенных в настоящем заключении.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7psdra-zkc09ffj81nv">
      <w:r>
        <w:rPr>
          <w:rFonts w:ascii="Arial" w:cs="Arial" w:eastAsia="Arial" w:hAnsi="Arial"/>
          <w:color w:val="132D3F"/>
          <w:sz w:val="16"/>
          <w:szCs w:val="16"/>
          <w:u w:val="single"/>
        </w:rPr>
        <w:t xml:space="preserve">dalil.kg/document/14668</w:t>
      </w:r>
    </w:hyperlink>
  </w:p>
  <w:p>
    <w:pPr>
      <w:spacing w:after="0" w:before="40"/>
      <w:jc w:val="center"/>
    </w:pPr>
    <w:hyperlink w:history="1" r:id="rIdvrwlmk-t6hnjyqxcxb6b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kb7oh6ucdy98u4gpffym" Type="http://schemas.openxmlformats.org/officeDocument/2006/relationships/hyperlink" Target="https://dalil.kg/document/203685" TargetMode="External"/><Relationship Id="rIdr-n7xuv3mjc7lm2vwqukc" Type="http://schemas.openxmlformats.org/officeDocument/2006/relationships/hyperlink" Target="https://dalil.kg/document/14668#p1" TargetMode="External"/><Relationship Id="rIdqbrv0cyn62oin_tuopith" Type="http://schemas.openxmlformats.org/officeDocument/2006/relationships/hyperlink" Target="https://dalil.kg/document/202329" TargetMode="External"/><Relationship Id="rIdokxirrbdbzmp2pmvuttmy" Type="http://schemas.openxmlformats.org/officeDocument/2006/relationships/hyperlink" Target="https://dalil.kg/document/203685" TargetMode="External"/><Relationship Id="rId4fm6hclsr8f0ilphfseg4" Type="http://schemas.openxmlformats.org/officeDocument/2006/relationships/hyperlink" Target="https://dalil.kg/document/202329" TargetMode="External"/><Relationship Id="rIdq50crsxv0_51ip_95swtl" Type="http://schemas.openxmlformats.org/officeDocument/2006/relationships/hyperlink" Target="https://dalil.kg/document/202329" TargetMode="External"/><Relationship Id="rIdi5f9xdzjfwup_kodiloda" Type="http://schemas.openxmlformats.org/officeDocument/2006/relationships/hyperlink" Target="https://dalil.kg/document/202329" TargetMode="External"/><Relationship Id="rIdpid68h31dvraz9otnos9e" Type="http://schemas.openxmlformats.org/officeDocument/2006/relationships/hyperlink" Target="https://dalil.kg/document/202329" TargetMode="External"/><Relationship Id="rIdmsn16c1dz8gp5ykuwsh8i" Type="http://schemas.openxmlformats.org/officeDocument/2006/relationships/hyperlink" Target="https://dalil.kg/document/202329" TargetMode="External"/><Relationship Id="rIdhwrqzux0eknxphtorjdel" Type="http://schemas.openxmlformats.org/officeDocument/2006/relationships/hyperlink" Target="https://dalil.kg/document/202329" TargetMode="External"/><Relationship Id="rIdle8ozeak5fw4intgcjdh5" Type="http://schemas.openxmlformats.org/officeDocument/2006/relationships/hyperlink" Target="https://dalil.kg/document/202591" TargetMode="External"/><Relationship Id="rIdzubyicge6uqsbm3vlguyt" Type="http://schemas.openxmlformats.org/officeDocument/2006/relationships/hyperlink" Target="https://dalil.kg/document/202913" TargetMode="External"/><Relationship Id="rIdqioflm7c_fuqafwrndgqi" Type="http://schemas.openxmlformats.org/officeDocument/2006/relationships/hyperlink" Target="https://dalil.kg/document/202591" TargetMode="External"/><Relationship Id="rIdvkbrdonx23jt5tmyafkqq" Type="http://schemas.openxmlformats.org/officeDocument/2006/relationships/hyperlink" Target="https://dalil.kg/document/76491" TargetMode="External"/><Relationship Id="rIdsefwjhkynnu4ds4o7wi7p" Type="http://schemas.openxmlformats.org/officeDocument/2006/relationships/hyperlink" Target="https://dalil.kg/document/76490" TargetMode="External"/><Relationship Id="rIdgtqq7_mgfqqag6vrepefh" Type="http://schemas.openxmlformats.org/officeDocument/2006/relationships/hyperlink" Target="https://dalil.kg/document/202591" TargetMode="External"/><Relationship Id="rIdxkcc0wgdekbld-tiwfh_m" Type="http://schemas.openxmlformats.org/officeDocument/2006/relationships/hyperlink" Target="https://dalil.kg/document/202591" TargetMode="External"/><Relationship Id="rId4z3dogk4qnmg1y7vusn78" Type="http://schemas.openxmlformats.org/officeDocument/2006/relationships/hyperlink" Target="https://dalil.kg/document/202329" TargetMode="External"/><Relationship Id="rIdpi7afdfy7iztz9xajqzxi" Type="http://schemas.openxmlformats.org/officeDocument/2006/relationships/hyperlink" Target="https://dalil.kg/document/202329" TargetMode="External"/><Relationship Id="rIdcwzg5wyoe96st5g943u1y" Type="http://schemas.openxmlformats.org/officeDocument/2006/relationships/hyperlink" Target="https://dalil.kg/document/202329" TargetMode="External"/><Relationship Id="rIdfracodxuvuhqu3xullcsa" Type="http://schemas.openxmlformats.org/officeDocument/2006/relationships/hyperlink" Target="https://dalil.kg/document/111885" TargetMode="External"/><Relationship Id="rIdwxgvk3wzy_ujy7wxhqewx" Type="http://schemas.openxmlformats.org/officeDocument/2006/relationships/hyperlink" Target="https://dalil.kg/document/217039" TargetMode="External"/><Relationship Id="rIdtpdwfsvjyzyoukptsskow" Type="http://schemas.openxmlformats.org/officeDocument/2006/relationships/hyperlink" Target="https://dalil.kg/document/202591" TargetMode="External"/><Relationship Id="rIdvaxjgfrxv9coaotsetamz" Type="http://schemas.openxmlformats.org/officeDocument/2006/relationships/hyperlink" Target="https://dalil.kg/document/76491" TargetMode="External"/><Relationship Id="rIddbchhruamwbjui_0ryval" Type="http://schemas.openxmlformats.org/officeDocument/2006/relationships/hyperlink" Target="https://dalil.kg/document/76490" TargetMode="External"/><Relationship Id="rId8" Type="http://schemas.openxmlformats.org/officeDocument/2006/relationships/image" Target="media/8de64316e95979c063c17bcd5380dc052a2594e9.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7psdra-zkc09ffj81nv" Type="http://schemas.openxmlformats.org/officeDocument/2006/relationships/hyperlink" Target="https://dalil.kg/document/14668" TargetMode="External"/><Relationship Id="rIdvrwlmk-t6hnjyqxcxb6b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2026-10-01T15:42:22.951Z</dcterms:created>
  <dcterms:modified xsi:type="dcterms:W3CDTF">2026-10-01T15:42:22.951Z</dcterms:modified>
</cp:coreProperties>
</file>

<file path=docProps/custom.xml><?xml version="1.0" encoding="utf-8"?>
<Properties xmlns="http://schemas.openxmlformats.org/officeDocument/2006/custom-properties" xmlns:vt="http://schemas.openxmlformats.org/officeDocument/2006/docPropsVTypes"/>
</file>