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июля 2019 года № 369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Стратегии кибербезопасности Кыргызской Республики на 2019-2023 годы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постановления Кабинета Министров КР от</w:t>
      </w:r>
      <w:hyperlink w:history="1" r:id="rIdr41a8wwrgedt9tdvtefm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08 апреля 2022 года №199</w:t>
        </w:r>
      </w:hyperlink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формирования единой национальной политики кибербезопасности,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cjqyutmfnc26ztemgt4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j7evy50vrnxyctake7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Стратегию</w:t>
        </w:r>
      </w:hyperlink>
      <w:r>
        <w:rPr>
          <w:rFonts w:ascii="Arial" w:cs="Arial" w:eastAsia="Arial" w:hAnsi="Arial"/>
          <w:sz w:val="24"/>
          <w:szCs w:val="24"/>
        </w:rPr>
        <w:t xml:space="preserve"> кибербезопасности Кыргызской Республики на 2019-2023 годы (далее - Стратегия) согласно приложению 1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tbftvwid2ii8kwvov7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Стратегии согласно приложению 2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Кыргызской Республики в установленные сроки: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 по исполнению пунктов </w:t>
      </w:r>
      <w:hyperlink w:history="1" r:id="rId4mep2q-d3buloqvnkom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</w:t>
      </w:r>
      <w:hyperlink w:history="1" r:id="rIdora9kpujds0kkdtvtlx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(далее - План мероприятий);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разработать и утвердить в установленном порядке среднесрочный план действий по реализации </w:t>
      </w:r>
      <w:hyperlink w:history="1" r:id="rIdcikvneeblwp44sepo-m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государственным комитетам и административным ведомствам Кыргызской Республики, задействованным в реализации </w:t>
      </w:r>
      <w:hyperlink w:history="1" r:id="rIdlzr_t9vjkdjoxawwosw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, по итогам каждого полугодия, не позднее 5 числа месяца, следующего за отчетным периодом, представлять в Государственный комитет информационных технологий и связи Кыргызской Республики информацию о ходе реализации </w:t>
      </w:r>
      <w:hyperlink w:history="1" r:id="rIdi6218alxl6ci3h4bimf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-p8l6-oqapkkgycebnj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форме, утверждаемой комитетом.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комитету информационных технологий и связи Кыргызской Республики по итогам каждого полугодия, не позднее 25 числа месяца, следующего за отчетным периодом, представлять в Аппарат Правительства Кыргызской Республики обобщенный отчет о ходе реализации </w:t>
      </w:r>
      <w:hyperlink w:history="1" r:id="rIdnbj0omgk6yvzlxdwzix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6 августа 2019 года N 65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
 мероприятий по реализации Стратегии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Кабинета Министров КР от</w:t>
      </w:r>
      <w:hyperlink w:history="1" r:id="rId3-ia387nwcqm70vimxyyx">
        <w:r>
          <w:rPr>
            <w:rFonts w:ascii="Arial" w:cs="Arial" w:eastAsia="Arial" w:hAnsi="Arial"/>
            <w:b/>
            <w:bCs/>
            <w:i/>
            <w:iCs/>
            <w:color w:val="1D4ED8"/>
            <w:sz w:val="24"/>
            <w:szCs w:val="24"/>
            <w:u w:val="single"/>
          </w:rPr>
          <w:t xml:space="preserve">08 апреля 2022 года №199</w:t>
        </w:r>
      </w:hyperlink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3"/>
        <w:gridCol w:w="1704"/>
        <w:gridCol w:w="1873"/>
        <w:gridCol w:w="1873"/>
        <w:gridCol w:w="1181"/>
        <w:gridCol w:w="1626"/>
        <w:gridCol w:w="1549"/>
      </w:tblGrid>
      <w:tr>
        <w:tc>
          <w:tcPr>
            <w:tcW w:type="dxa" w:w="3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8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
 действия</w:t>
            </w:r>
          </w:p>
        </w:tc>
        <w:tc>
          <w:tcPr>
            <w:tcW w:type="dxa" w:w="18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Ожидаемый результат</w:t>
            </w:r>
          </w:p>
        </w:tc>
        <w:tc>
          <w:tcPr>
            <w:tcW w:type="dxa" w:w="11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16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Финансирование</w:t>
            </w:r>
          </w:p>
        </w:tc>
        <w:tc>
          <w:tcPr>
            <w:tcW w:type="dxa" w:w="15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Формирование политики в области кибербезопасности</w:t>
            </w:r>
          </w:p>
        </w:tc>
      </w:tr>
      <w:tr>
        <w:tc>
          <w:tcPr>
            <w:tcW w:type="dxa" w:w="3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единой системы мер обеспечения кибербезопасности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Определить уполномоченный орган, ведающий вопросами национальной безопасности Кыргызской Республики органов государственной власти, уполномоченный в области обеспечения кибербезопасности Кыргызской Республики.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Постановление Правительства Кыргызской Республики об определении органа государственной власти, уполномоченного в области обеспечения кибербезопасности Кыргызской Республики.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2020 года</w:t>
            </w:r>
          </w:p>
        </w:tc>
        <w:tc>
          <w:tcPr>
            <w:tcW w:type="dxa" w:w="1626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  <w:tc>
          <w:tcPr>
            <w:tcW w:type="dxa" w:w="15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министерства и ведомства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Создать координационный центр по обеспечению информационной и кибербезопасности при ГКНБ.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Постановление Правительства Кыргызской Республики о создании координационного центра по обеспечению информационной и кибербезопасности при ГКНБ.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2020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 Образовать межведомственную комиссию по вопросам обеспечения информационной и кибербезопасности.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 Постановление Правительства Кыргызской Республики об образовании межведомственной комиссии по вопросам обеспечения информационной и кибербезопасности.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2020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 Создать ведомственные группы реагирования на компьютерные инциденты.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 Созданы ведомственные группы реагирования на компьютерные инциденты.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Выработана методика по созданию и развитию ведомственных групп реагирования на компьютерные инциденты.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2023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 Получить аккредитацию CC-CERT, FIRST и иных международных форматов, позволяющую соответствовать лучшим международным практикам и стандартам деятельности в области реагирования на компьютерные инциденты.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 Получена аккредитация CC-CERT, FIRST и иных международных форматов.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2023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1.6.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wr3azioflb2qrq3bi-ucy">
              <w:r>
                <w:rPr>
                  <w:rFonts w:ascii="Arial" w:cs="Arial" w:eastAsia="Arial" w:hAnsi="Arial"/>
                  <w:b w:val="false"/>
                  <w:bCs w:val="false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b w:val="false"/>
                <w:bCs w:val="false"/>
                <w:i/>
                <w:iCs/>
                <w:sz w:val="24"/>
                <w:szCs w:val="24"/>
              </w:rPr>
              <w:t xml:space="preserve"> Кабинета Министров КР от 08 апреля 2022 года №199)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1.6. 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1.7. Поэтапное расширение взаимодействия Национального CERT с государственными органами Кыргызской Республики, операторами объектов КИИ, иными частными субъектами.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1.7. Расширено взаимодействие Национального CERT с государственными органами Кыргызской Республики, операторами объектов КИИ и иными частными субъектами.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2023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1.8. Сформировать при координационном центре по обеспечению информационной и кибербезопасности при ГКНБ единый репозиторий данных о компьютерных уязвимостях и вредоносных ПО, пополняемый государственными органами, операторами объектов КИИ, а также открытый для пополнения со стороны частных организаций и заинтересованных лиц.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1.8. Сформирован единый репозиторий данных о компьютерных уязвимостях и вредоносных ПО.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августа 2023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1.9.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</w:t>
            </w:r>
            <w:hyperlink w:history="1" r:id="rIdvrx8pvd17dmm_ovcas293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Кабинета Министров КР от 08 апреля 2022 года №199)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1.9. 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1.10. Подготовить и провести первые национальные киберучения для государственных органов Кыргызской Республики и операторов объектов КИИ для предотвращения возможных кибератак.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1.10. Получены знания работниками государственных органов Кыргызской Республики и операторами объектов КИИ для предотвращения возможных кибератак.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2021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1.11. Провести регулярный аудит кибербезопасности государственных информационных систем, государственных информационных инфраструктур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1.11. Обеспечение безопасности информационных систем государственного сектора Кыргызской Республики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2023 года</w:t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ГКИТС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основы обеспечения кибербезопасности Кыргызской Республики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Разработать проект Закона Кыргызской Республики "О кибербезопасности Кыргызской Республики".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Внесен на рассмотрение Жогорку Кенеша Кыргызской Республики.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2023 года</w:t>
            </w:r>
          </w:p>
        </w:tc>
        <w:tc>
          <w:tcPr>
            <w:tcW w:type="dxa" w:w="16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  <w:tc>
          <w:tcPr>
            <w:tcW w:type="dxa" w:w="15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министерства и ведомства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государственной политики в области сертификации средств защиты информации, не содержащей сведения, отнесенные к государственным секретам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Положения о сертификации средств защиты информации, не содержащей сведения, отнесенные к государственным секретам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Положение о сертификации средств защиты информации, не содержащей сведения, отнесенные к государственным секретам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2023 года</w:t>
            </w:r>
          </w:p>
        </w:tc>
        <w:tc>
          <w:tcPr>
            <w:tcW w:type="dxa" w:w="16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  <w:tc>
          <w:tcPr>
            <w:tcW w:type="dxa" w:w="15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министерства и ведомства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Противодействие компьютерной преступности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Криминализация составов компьютерных преступлений в соответствии с международными подходами</w:t>
            </w:r>
          </w:p>
        </w:tc>
        <w:tc>
          <w:tcPr>
            <w:tcW w:type="dxa" w:w="1873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 на рассмотрение Жогорку Кенеша Кыргызской Республики</w:t>
            </w:r>
          </w:p>
        </w:tc>
        <w:tc>
          <w:tcPr>
            <w:tcW w:type="dxa" w:w="1181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2023 года</w:t>
            </w:r>
          </w:p>
        </w:tc>
        <w:tc>
          <w:tcPr>
            <w:tcW w:type="dxa" w:w="16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  <w:tc>
          <w:tcPr>
            <w:tcW w:type="dxa" w:w="15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ГП (по согласованию), МВД, министерства и ведомства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единого подхода по обеспечению защиты персональных данных граждан Кыргызской Республики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 Разработать Положение об уполномоченном государственном органе по персональным данным Кыргызской Республики.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 Утверждено Положение об уполномоченном государственном органе по персональным данным Кыргызской Республики.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 2019 года</w:t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  <w:tc>
          <w:tcPr>
            <w:tcW w:type="dxa" w:w="1549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ГКНБ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 Учредить единый орган исполнительной власти, уполномоченный в области надзора за соблюдением законодательства о персональных данных.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 Решение Правительства Кыргызской Республики о создании органа исполнительной власти, уполномоченного в области надзора за соблюдением законодательства о персональных данных.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августа 2019 года</w:t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реализации программы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5.3. Разработать проект Закона Кыргызской Республики "О внесении изменений в </w:t>
            </w:r>
            <w:hyperlink w:history="1" r:id="rIdrgur_r7tdeuscsdcab09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о нарушениях, </w:t>
            </w:r>
            <w:hyperlink w:history="1" r:id="rIduvzzhye4ti2tmjkotpgx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о проступках, в Уголовный </w:t>
            </w:r>
            <w:hyperlink w:history="1" r:id="rIddsmtpnzoyog2wz9gmwse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Республики, в части установления ответственности за нарушения в сфере персональных данных</w:t>
            </w:r>
          </w:p>
        </w:tc>
        <w:tc>
          <w:tcPr>
            <w:tcW w:type="dxa" w:w="18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5.3. Одобрен проект Закона Кыргызской Республики "О внесении изменений в </w:t>
            </w:r>
            <w:hyperlink w:history="1" r:id="rIdsnvagdaahcfvqfpqeswo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о нарушениях, </w:t>
            </w:r>
            <w:hyperlink w:history="1" r:id="rIdbmadf_2c_iwc2gnihxgn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о проступках, в Уголовный </w:t>
            </w:r>
            <w:hyperlink w:history="1" r:id="rIdlygqtdttg6rm99mto_lx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Введена ответственность за нарушение законодательства Кыргызской Республики о защите персональных данных</w:t>
            </w:r>
          </w:p>
        </w:tc>
        <w:tc>
          <w:tcPr>
            <w:tcW w:type="dxa" w:w="11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марта 2020 года</w:t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Концепции цифровой трансформации "Цифровой Кыргызстан 2019-2023"
 5708900 сом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персональным данным, ГКИТС, ГКНБ</w:t>
            </w:r>
          </w:p>
        </w:tc>
      </w:tr>
      <w:tr>
        <w:tc>
          <w:tcPr>
            <w:tcW w:type="dxa" w:w="3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Наращивание потенциала и укрепление человеческих ресурсов для обеспечения кибербезопасности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 Пересмотреть стандарты образовательной деятельности и образовательных регламентов, с целью включения дисциплин "кибербезопасность", "цифровая грамотность", "компьютерная гигиена".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 Внедрены дисциплины "кибербезопасность", "компьютерная гигиена", "цифровая грамотность" в учебные программы школьного, среднего и высшего профессионального образования по соответствующим направлениям и специальностям.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2021 года</w:t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ГКИТС, ГКНБ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 Повысить уровень человеческих ресурсов и квалифицированного кадрового потенциала для реализации государственной политики в области обеспечения кибербезопасности Кыргызской Республики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 Реализованы программы по обмену опытом, повышению квалификации, тренингов и семинаров для сотрудников уполномоченных государственных органов по кибербезопасности и всех заинтересованных государственных органов Кыргызской Республики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2019-2023 годы</w:t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согласованию), ГКИТС, ГКНБ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населения по вопросу защиты персональных данных в сети Интернет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 Информировать население о защите персональных данных, актуальных вопросах кибербезопасности и принимаемых мерах по ее обеспечению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 Показаны социальные рекламные ролики по телевидению, введены обучающие программы в учебных заведениях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2019-2023 годы</w:t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персональным данным, ГКИТС, МКИТ</w:t>
            </w:r>
          </w:p>
        </w:tc>
      </w:tr>
      <w:tr>
        <w:tc>
          <w:tcPr>
            <w:tcW w:type="dxa" w:w="3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7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Кибергигиена и цифровая грамотность населения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8.1. Повысить уровень кибергигиены и цифровой грамотности государственных гражданских служащих в сфере ИКТ, руководителей государственных органов.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8.1. Проведены тренинги, обучение государственных гражданских служащих в сфере ИКТ, руководителей государственных органов.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2019-2023 годы</w:t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согласованию), МКИТ, ГКИТС, ГКНБ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8.2. Вовлечь частный сектор и организации в процесс разработки обучающих программ повышения навыков цифровой грамотности населения для всех возрастных групп.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8.2. Разработаны методические руководства.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2019-2023 годы</w:t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  <w:tc>
          <w:tcPr>
            <w:tcW w:type="dxa" w:w="15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МКИТ, ГКИТС, ГКНБ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8.3. Интегрировать вопросы цифровой грамотности в расширенную программу обучения по всем предметам в учебные программы школьного, среднего и высшего профессионального образования по соответствующим направлениям и специальностям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8.3. Разработаны методические руководства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2019-2023 годы</w:t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использованных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Генпрокуратура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Генеральная прокуратура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ГКИТС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информационных технологий и связи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кадровая служба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ИКТ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информационно-коммуникационные технологии;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критическая информационная инфраструктура;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нормативный правовой акт;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программное обеспечение;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СЗИ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 защиты информации;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СКЗИ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 криптографической защиты информации;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чрезвычайные ситуации;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CERT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реагирования на компьютерные инциденты;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СЗИ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 защиты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shlhvt33qwizuv0odu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dalil.kg/document/15478</w:t>
      </w:r>
    </w:hyperlink>
  </w:p>
  <w:p>
    <w:pPr>
      <w:spacing w:after="0" w:before="40"/>
      <w:jc w:val="center"/>
    </w:pPr>
    <w:hyperlink w:history="1" r:id="rId4yeqojjfnqxsm4bkiro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41a8wwrgedt9tdvtefma" Type="http://schemas.openxmlformats.org/officeDocument/2006/relationships/hyperlink" Target="https://dalil.kg/document/159115" TargetMode="External"/><Relationship Id="rIdcjqyutmfnc26ztemgt4tt" Type="http://schemas.openxmlformats.org/officeDocument/2006/relationships/hyperlink" Target="https://dalil.kg/document/203685" TargetMode="External"/><Relationship Id="rId_j7evy50vrnxyctake7hu" Type="http://schemas.openxmlformats.org/officeDocument/2006/relationships/hyperlink" Target="https://dalil.kg/document/15479" TargetMode="External"/><Relationship Id="rId2tbftvwid2ii8kwvov7_o" Type="http://schemas.openxmlformats.org/officeDocument/2006/relationships/hyperlink" Target="https://dalil.kg/document/15478#p1" TargetMode="External"/><Relationship Id="rId4mep2q-d3buloqvnkombe" Type="http://schemas.openxmlformats.org/officeDocument/2006/relationships/hyperlink" Target="https://dalil.kg/document/15478#p1" TargetMode="External"/><Relationship Id="rIdora9kpujds0kkdtvtlxns" Type="http://schemas.openxmlformats.org/officeDocument/2006/relationships/hyperlink" Target="https://dalil.kg/document/15479" TargetMode="External"/><Relationship Id="rIdcikvneeblwp44sepo-mfn" Type="http://schemas.openxmlformats.org/officeDocument/2006/relationships/hyperlink" Target="https://dalil.kg/document/15479" TargetMode="External"/><Relationship Id="rIdlzr_t9vjkdjoxawwoswdg" Type="http://schemas.openxmlformats.org/officeDocument/2006/relationships/hyperlink" Target="https://dalil.kg/document/15479" TargetMode="External"/><Relationship Id="rIdi6218alxl6ci3h4bimf0c" Type="http://schemas.openxmlformats.org/officeDocument/2006/relationships/hyperlink" Target="https://dalil.kg/document/15479" TargetMode="External"/><Relationship Id="rId-p8l6-oqapkkgycebnjn5" Type="http://schemas.openxmlformats.org/officeDocument/2006/relationships/hyperlink" Target="https://dalil.kg/document/15478#p1" TargetMode="External"/><Relationship Id="rIdnbj0omgk6yvzlxdwzixql" Type="http://schemas.openxmlformats.org/officeDocument/2006/relationships/hyperlink" Target="https://dalil.kg/document/15478#p1" TargetMode="External"/><Relationship Id="rId3-ia387nwcqm70vimxyyx" Type="http://schemas.openxmlformats.org/officeDocument/2006/relationships/hyperlink" Target="https://dalil.kg/document/159115" TargetMode="External"/><Relationship Id="rIdwr3azioflb2qrq3bi-ucy" Type="http://schemas.openxmlformats.org/officeDocument/2006/relationships/hyperlink" Target="https://dalil.kg/document/159115" TargetMode="External"/><Relationship Id="rIdvrx8pvd17dmm_ovcas293" Type="http://schemas.openxmlformats.org/officeDocument/2006/relationships/hyperlink" Target="https://dalil.kg/document/159115" TargetMode="External"/><Relationship Id="rIdrgur_r7tdeuscsdcab09e" Type="http://schemas.openxmlformats.org/officeDocument/2006/relationships/hyperlink" Target="https://dalil.kg/document/111565" TargetMode="External"/><Relationship Id="rIduvzzhye4ti2tmjkotpgxz" Type="http://schemas.openxmlformats.org/officeDocument/2006/relationships/hyperlink" Target="https://dalil.kg/document/111529" TargetMode="External"/><Relationship Id="rIddsmtpnzoyog2wz9gmwses" Type="http://schemas.openxmlformats.org/officeDocument/2006/relationships/hyperlink" Target="https://dalil.kg/document/111527" TargetMode="External"/><Relationship Id="rIdsnvagdaahcfvqfpqeswob" Type="http://schemas.openxmlformats.org/officeDocument/2006/relationships/hyperlink" Target="https://dalil.kg/document/111565" TargetMode="External"/><Relationship Id="rIdbmadf_2c_iwc2gnihxgnq" Type="http://schemas.openxmlformats.org/officeDocument/2006/relationships/hyperlink" Target="https://dalil.kg/document/111529" TargetMode="External"/><Relationship Id="rIdlygqtdttg6rm99mto_lxl" Type="http://schemas.openxmlformats.org/officeDocument/2006/relationships/hyperlink" Target="https://dalil.kg/document/111527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shlhvt33qwizuv0odudc" Type="http://schemas.openxmlformats.org/officeDocument/2006/relationships/hyperlink" Target="https://dalil.kg/document/15478" TargetMode="External"/><Relationship Id="rId4yeqojjfnqxsm4bkirol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2026-09-24T00:42:12.026Z</dcterms:created>
  <dcterms:modified xsi:type="dcterms:W3CDTF">2026-09-24T00:42:12.026Z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