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vxu_bkrflliwhnprsvtn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августа 2019 года № 418)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yqxqk3j8g0kpufvnmf4cn">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 (далее - Положение) определяет порядок взаимодействия органов государственной власти и местного самоуправления Кыргызской Республики, а также иных государственных и негосударственных организаций и граждан по предотвращению, пресечению и реагированию на гендерное насилие в чрезвычайных и кризисных ситуациях.</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b/>
          <w:bCs/>
          <w:sz w:val="24"/>
          <w:szCs w:val="24"/>
        </w:rPr>
        <w:t xml:space="preserve">кризисная ситуация</w:t>
      </w:r>
      <w:r>
        <w:rPr>
          <w:rFonts w:ascii="Arial" w:cs="Arial" w:eastAsia="Arial" w:hAnsi="Arial"/>
          <w:sz w:val="24"/>
          <w:szCs w:val="24"/>
        </w:rPr>
        <w:t xml:space="preserve"> - совокупность факторов (обстоятельств) биологического (эпидемии, эпизоотии, эпифитотии), социального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 и природно-техногенного (стихийные бедствия, разрушения) характера, представляющих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w:t>
      </w:r>
    </w:p>
    <w:p>
      <w:pPr>
        <w:spacing w:after="60"/>
        <w:ind w:firstLine="567"/>
        <w:jc w:val="both"/>
      </w:pPr>
      <w:r>
        <w:rPr>
          <w:rFonts w:ascii="Arial" w:cs="Arial" w:eastAsia="Arial" w:hAnsi="Arial"/>
          <w:b/>
          <w:bCs/>
          <w:sz w:val="24"/>
          <w:szCs w:val="24"/>
        </w:rPr>
        <w:t xml:space="preserve">безопасное место</w:t>
      </w:r>
      <w:r>
        <w:rPr>
          <w:rFonts w:ascii="Arial" w:cs="Arial" w:eastAsia="Arial" w:hAnsi="Arial"/>
          <w:sz w:val="24"/>
          <w:szCs w:val="24"/>
        </w:rPr>
        <w:t xml:space="preserve"> - территория или помещение, где отсутствует опасность для жизни и здоровья лица, пострадавшего от гендерного насилия;</w:t>
      </w:r>
    </w:p>
    <w:p>
      <w:pPr>
        <w:spacing w:after="60"/>
        <w:ind w:firstLine="567"/>
        <w:jc w:val="both"/>
      </w:pPr>
      <w:r>
        <w:rPr>
          <w:rFonts w:ascii="Arial" w:cs="Arial" w:eastAsia="Arial" w:hAnsi="Arial"/>
          <w:b/>
          <w:bCs/>
          <w:sz w:val="24"/>
          <w:szCs w:val="24"/>
        </w:rPr>
        <w:t xml:space="preserve">гендерное насилие</w:t>
      </w:r>
      <w:r>
        <w:rPr>
          <w:rFonts w:ascii="Arial" w:cs="Arial" w:eastAsia="Arial" w:hAnsi="Arial"/>
          <w:sz w:val="24"/>
          <w:szCs w:val="24"/>
        </w:rPr>
        <w:t xml:space="preserve"> - это любой совершенный на основании полового признака акт насилия, который причиняет или может причинить вред физическому, сексуальному или психологическому здоровью, или страдания, а также угрозы совершения таких актов, принуждение или самовольное лишение свободы, будь то в общественной или частной жизни;</w:t>
      </w:r>
    </w:p>
    <w:p>
      <w:pPr>
        <w:spacing w:after="60"/>
        <w:ind w:firstLine="567"/>
        <w:jc w:val="both"/>
      </w:pPr>
      <w:r>
        <w:rPr>
          <w:rFonts w:ascii="Arial" w:cs="Arial" w:eastAsia="Arial" w:hAnsi="Arial"/>
          <w:b/>
          <w:bCs/>
          <w:sz w:val="24"/>
          <w:szCs w:val="24"/>
        </w:rPr>
        <w:t xml:space="preserve">доступность получения помощи</w:t>
      </w:r>
      <w:r>
        <w:rPr>
          <w:rFonts w:ascii="Arial" w:cs="Arial" w:eastAsia="Arial" w:hAnsi="Arial"/>
          <w:sz w:val="24"/>
          <w:szCs w:val="24"/>
        </w:rPr>
        <w:t xml:space="preserve"> - возможность получения помощи пострадавшим от гендерного насилия независимо от пола, вероисповедания, социальной, культурной, этнической принадлежности, возраста, семейного положения, состояния здоровья, места жительства, а также других обстоятельств и согласия других лиц. Доступность включает в себя возможность получения всех необходимых видов помощи для пострадавшего от гендерного насилия в пунктах первой помощи, а также возможность быть направленным или доставленным в другие специальные учреждения;</w:t>
      </w:r>
    </w:p>
    <w:p>
      <w:pPr>
        <w:spacing w:after="120"/>
        <w:ind w:firstLine="708"/>
        <w:jc w:val="both"/>
      </w:pPr>
      <w:r>
        <w:rPr>
          <w:rFonts w:ascii="Arial" w:cs="Arial" w:eastAsia="Arial" w:hAnsi="Arial"/>
          <w:b/>
          <w:bCs/>
          <w:sz w:val="24"/>
          <w:szCs w:val="24"/>
        </w:rPr>
        <w:t xml:space="preserve">комиссия по Гражданской защите</w:t>
      </w:r>
      <w:r>
        <w:rPr>
          <w:rFonts w:ascii="Arial" w:cs="Arial" w:eastAsia="Arial" w:hAnsi="Arial"/>
          <w:sz w:val="24"/>
          <w:szCs w:val="24"/>
        </w:rPr>
        <w:t xml:space="preserve">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уровень качества помощи специалиста, прошедшего специальную подготовку;</w:t>
      </w:r>
    </w:p>
    <w:p>
      <w:pPr>
        <w:spacing w:after="60"/>
        <w:ind w:firstLine="567"/>
        <w:jc w:val="both"/>
      </w:pPr>
      <w:r>
        <w:rPr>
          <w:rFonts w:ascii="Arial" w:cs="Arial" w:eastAsia="Arial" w:hAnsi="Arial"/>
          <w:b/>
          <w:bCs/>
          <w:sz w:val="24"/>
          <w:szCs w:val="24"/>
        </w:rPr>
        <w:t xml:space="preserve">конфиденциальность</w:t>
      </w:r>
      <w:r>
        <w:rPr>
          <w:rFonts w:ascii="Arial" w:cs="Arial" w:eastAsia="Arial" w:hAnsi="Arial"/>
          <w:sz w:val="24"/>
          <w:szCs w:val="24"/>
        </w:rPr>
        <w:t xml:space="preserve"> - соблюдение в тайне любых сведений о гендерном насилии в отношении пострадавшего от гендерного насилия;</w:t>
      </w:r>
    </w:p>
    <w:p>
      <w:pPr>
        <w:spacing w:after="60"/>
        <w:ind w:firstLine="567"/>
        <w:jc w:val="both"/>
      </w:pPr>
      <w:r>
        <w:rPr>
          <w:rFonts w:ascii="Arial" w:cs="Arial" w:eastAsia="Arial" w:hAnsi="Arial"/>
          <w:b/>
          <w:bCs/>
          <w:sz w:val="24"/>
          <w:szCs w:val="24"/>
        </w:rPr>
        <w:t xml:space="preserve">лицо, пострадавшее от гендерного насилия</w:t>
      </w:r>
      <w:r>
        <w:rPr>
          <w:rFonts w:ascii="Arial" w:cs="Arial" w:eastAsia="Arial" w:hAnsi="Arial"/>
          <w:sz w:val="24"/>
          <w:szCs w:val="24"/>
        </w:rPr>
        <w:t xml:space="preserve"> - физическое лицо, пережившее гендерное насилие;</w:t>
      </w:r>
    </w:p>
    <w:p>
      <w:pPr>
        <w:spacing w:after="60"/>
        <w:ind w:firstLine="567"/>
        <w:jc w:val="both"/>
      </w:pPr>
      <w:r>
        <w:rPr>
          <w:rFonts w:ascii="Arial" w:cs="Arial" w:eastAsia="Arial" w:hAnsi="Arial"/>
          <w:b/>
          <w:bCs/>
          <w:sz w:val="24"/>
          <w:szCs w:val="24"/>
        </w:rPr>
        <w:t xml:space="preserve">лица с особыми нуждами</w:t>
      </w:r>
      <w:r>
        <w:rPr>
          <w:rFonts w:ascii="Arial" w:cs="Arial" w:eastAsia="Arial" w:hAnsi="Arial"/>
          <w:sz w:val="24"/>
          <w:szCs w:val="24"/>
        </w:rPr>
        <w:t xml:space="preserve"> - беременные женщины, кормящие женщины, пожилые люди, дети, лица с ограниченными возможностями здоровья;</w:t>
      </w:r>
    </w:p>
    <w:p>
      <w:pPr>
        <w:spacing w:after="60"/>
        <w:ind w:firstLine="567"/>
        <w:jc w:val="both"/>
      </w:pPr>
      <w:r>
        <w:rPr>
          <w:rFonts w:ascii="Arial" w:cs="Arial" w:eastAsia="Arial" w:hAnsi="Arial"/>
          <w:b/>
          <w:bCs/>
          <w:sz w:val="24"/>
          <w:szCs w:val="24"/>
        </w:rPr>
        <w:t xml:space="preserve">помощь лицам, пострадавшим от гендерного насилия</w:t>
      </w:r>
      <w:r>
        <w:rPr>
          <w:rFonts w:ascii="Arial" w:cs="Arial" w:eastAsia="Arial" w:hAnsi="Arial"/>
          <w:sz w:val="24"/>
          <w:szCs w:val="24"/>
        </w:rPr>
        <w:t xml:space="preserve"> - все виды медицинской, психологической, социальной, юридической и иных видов помощи;</w:t>
      </w:r>
    </w:p>
    <w:p>
      <w:pPr>
        <w:spacing w:after="60"/>
        <w:ind w:firstLine="567"/>
        <w:jc w:val="both"/>
      </w:pPr>
      <w:r>
        <w:rPr>
          <w:rFonts w:ascii="Arial" w:cs="Arial" w:eastAsia="Arial" w:hAnsi="Arial"/>
          <w:b/>
          <w:bCs/>
          <w:sz w:val="24"/>
          <w:szCs w:val="24"/>
        </w:rPr>
        <w:t xml:space="preserve">превентивный этап чрезвычайной и кризисной ситуации</w:t>
      </w:r>
      <w:r>
        <w:rPr>
          <w:rFonts w:ascii="Arial" w:cs="Arial" w:eastAsia="Arial" w:hAnsi="Arial"/>
          <w:sz w:val="24"/>
          <w:szCs w:val="24"/>
        </w:rPr>
        <w:t xml:space="preserve"> - период времени, предшествующий возможной чрезвычайной и кризисной ситуации, в течение которого осуществляется разработка последовательной и логичной цепи мероприятий для минимизации последствий чрезвычайной и кризисной ситуации, в том числе и гендерного насилия;</w:t>
      </w:r>
    </w:p>
    <w:p>
      <w:pPr>
        <w:spacing w:after="60"/>
        <w:ind w:firstLine="567"/>
        <w:jc w:val="both"/>
      </w:pPr>
      <w:r>
        <w:rPr>
          <w:rFonts w:ascii="Arial" w:cs="Arial" w:eastAsia="Arial" w:hAnsi="Arial"/>
          <w:b/>
          <w:bCs/>
          <w:sz w:val="24"/>
          <w:szCs w:val="24"/>
        </w:rPr>
        <w:t xml:space="preserve">сексуальное насилие</w:t>
      </w:r>
      <w:r>
        <w:rPr>
          <w:rFonts w:ascii="Arial" w:cs="Arial" w:eastAsia="Arial" w:hAnsi="Arial"/>
          <w:sz w:val="24"/>
          <w:szCs w:val="24"/>
        </w:rPr>
        <w:t xml:space="preserve"> - деяние, посягающее на половую неприкосновенность или половую свободу лица. Сексуальное насилие включает в себя любые действия, их попытки и угрозы, в том числе эксплуатацию и совращение, которые наносят или могут нанести физический и/или психологический вред;</w:t>
      </w:r>
    </w:p>
    <w:p>
      <w:pPr>
        <w:spacing w:after="60"/>
        <w:ind w:firstLine="567"/>
        <w:jc w:val="both"/>
      </w:pPr>
      <w:r>
        <w:rPr>
          <w:rFonts w:ascii="Arial" w:cs="Arial" w:eastAsia="Arial" w:hAnsi="Arial"/>
          <w:b/>
          <w:bCs/>
          <w:sz w:val="24"/>
          <w:szCs w:val="24"/>
        </w:rPr>
        <w:t xml:space="preserve">социальные службы</w:t>
      </w:r>
      <w:r>
        <w:rPr>
          <w:rFonts w:ascii="Arial" w:cs="Arial" w:eastAsia="Arial" w:hAnsi="Arial"/>
          <w:sz w:val="24"/>
          <w:szCs w:val="24"/>
        </w:rPr>
        <w:t xml:space="preserve"> - организации, предоставляющие социальные услуги (помощь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 независимо от форм собственности, а также граждане, занимающиеся предпринимательской деятельностью по социальному обслуживанию (социальная поддержка, оказание социально-бытовых, социально-медицинских, психолого-педагогических, социально-правовых услуг, проведение социальной адаптации и реабилитации граждан, находящихся в трудной жизненной ситуации) населения без образования юридического лица;</w:t>
      </w:r>
    </w:p>
    <w:p>
      <w:pPr>
        <w:spacing w:after="60"/>
        <w:ind w:firstLine="567"/>
        <w:jc w:val="both"/>
      </w:pPr>
      <w:r>
        <w:rPr>
          <w:rFonts w:ascii="Arial" w:cs="Arial" w:eastAsia="Arial" w:hAnsi="Arial"/>
          <w:b/>
          <w:bCs/>
          <w:sz w:val="24"/>
          <w:szCs w:val="24"/>
        </w:rPr>
        <w:t xml:space="preserve">экстренная помощь</w:t>
      </w:r>
      <w:r>
        <w:rPr>
          <w:rFonts w:ascii="Arial" w:cs="Arial" w:eastAsia="Arial" w:hAnsi="Arial"/>
          <w:sz w:val="24"/>
          <w:szCs w:val="24"/>
        </w:rPr>
        <w:t xml:space="preserve"> - комплекс мероприятий, направленных на спасение жизни, предотвращение дальнейшей травматизации и ухудшения физического и психологического здоровья, создание условий для лечения и выздоровления лица, пострадавшего от гендерного насилия;</w:t>
      </w:r>
    </w:p>
    <w:p>
      <w:pPr>
        <w:spacing w:after="60"/>
        <w:ind w:firstLine="567"/>
        <w:jc w:val="both"/>
      </w:pPr>
      <w:r>
        <w:rPr>
          <w:rFonts w:ascii="Arial" w:cs="Arial" w:eastAsia="Arial" w:hAnsi="Arial"/>
          <w:b/>
          <w:bCs/>
          <w:sz w:val="24"/>
          <w:szCs w:val="24"/>
        </w:rPr>
        <w:t xml:space="preserve">этап чрезвычайной и кризисной ситуации</w:t>
      </w:r>
      <w:r>
        <w:rPr>
          <w:rFonts w:ascii="Arial" w:cs="Arial" w:eastAsia="Arial" w:hAnsi="Arial"/>
          <w:sz w:val="24"/>
          <w:szCs w:val="24"/>
        </w:rPr>
        <w:t xml:space="preserve"> - период времени, в течение которого принимаются меры по защите от гендерного насилия, оказывается помощь лицам, пострадавшим от гендерного насилия;</w:t>
      </w:r>
    </w:p>
    <w:p>
      <w:pPr>
        <w:spacing w:after="60"/>
        <w:ind w:firstLine="567"/>
        <w:jc w:val="both"/>
      </w:pPr>
      <w:r>
        <w:rPr>
          <w:rFonts w:ascii="Arial" w:cs="Arial" w:eastAsia="Arial" w:hAnsi="Arial"/>
          <w:b/>
          <w:bCs/>
          <w:sz w:val="24"/>
          <w:szCs w:val="24"/>
        </w:rPr>
        <w:t xml:space="preserve">этап реабилитации</w:t>
      </w:r>
      <w:r>
        <w:rPr>
          <w:rFonts w:ascii="Arial" w:cs="Arial" w:eastAsia="Arial" w:hAnsi="Arial"/>
          <w:sz w:val="24"/>
          <w:szCs w:val="24"/>
        </w:rPr>
        <w:t xml:space="preserve"> - период времени, в течение которого происходит восстановление условий жизнедеятельности, обеспечивающих состояние защищенности прав и законных интересов пострадавших от гендерного насилия.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18hkvdtlix6ilumbrjxl">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Субъекты органов взаимодействия по предотвращению, пресечению и реагированию на гендерное насилие и принципы их деятельности</w:t>
      </w:r>
    </w:p>
    <w:p>
      <w:pPr>
        <w:spacing w:after="60"/>
        <w:ind w:firstLine="567"/>
        <w:jc w:val="both"/>
      </w:pPr>
      <w:r>
        <w:rPr>
          <w:rFonts w:ascii="Arial" w:cs="Arial" w:eastAsia="Arial" w:hAnsi="Arial"/>
          <w:sz w:val="24"/>
          <w:szCs w:val="24"/>
        </w:rPr>
        <w:t xml:space="preserve">3. Субъекты органов взаимодействия:</w:t>
      </w:r>
    </w:p>
    <w:p>
      <w:pPr>
        <w:spacing w:after="60"/>
        <w:ind w:firstLine="567"/>
        <w:jc w:val="both"/>
      </w:pPr>
      <w:r>
        <w:rPr>
          <w:rFonts w:ascii="Arial" w:cs="Arial" w:eastAsia="Arial" w:hAnsi="Arial"/>
          <w:sz w:val="24"/>
          <w:szCs w:val="24"/>
        </w:rPr>
        <w:t xml:space="preserve">- комиссия по Гражданской защите Кыргызской Республики, образуемая в порядке, определяемом законодательством Кыргызской Республики о Гражданской защите;</w:t>
      </w:r>
    </w:p>
    <w:p>
      <w:pPr>
        <w:spacing w:after="60"/>
        <w:ind w:firstLine="567"/>
        <w:jc w:val="both"/>
      </w:pPr>
      <w:r>
        <w:rPr>
          <w:rFonts w:ascii="Arial" w:cs="Arial" w:eastAsia="Arial" w:hAnsi="Arial"/>
          <w:sz w:val="24"/>
          <w:szCs w:val="24"/>
        </w:rPr>
        <w:t xml:space="preserve">- уполномоченный государственный орган в области Гражданской защиты,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охраны здоровья граждан,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внутренних дел,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социального развития,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по вопросам обороны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органы местного самоуправления;</w:t>
      </w:r>
    </w:p>
    <w:p>
      <w:pPr>
        <w:spacing w:after="60"/>
        <w:ind w:firstLine="567"/>
        <w:jc w:val="both"/>
      </w:pPr>
      <w:r>
        <w:rPr>
          <w:rFonts w:ascii="Arial" w:cs="Arial" w:eastAsia="Arial" w:hAnsi="Arial"/>
          <w:sz w:val="24"/>
          <w:szCs w:val="24"/>
        </w:rPr>
        <w:t xml:space="preserve">- граждане, а также иные государственные и негосударственные организации, осуществляющие свои функции по предотвращению, пресечению и реагированию на гендерное насилие в рамках своих уставных целей.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mp2u02nawufk9-mwoo7">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Деятельность субъектов органов взаимодействия по предотвращению, пресечению и реагированию на гендерное насилие в чрезвычайных и кризисных ситуациях основывается на следующих принципах:</w:t>
      </w:r>
    </w:p>
    <w:p>
      <w:pPr>
        <w:spacing w:after="60"/>
        <w:ind w:firstLine="567"/>
        <w:jc w:val="both"/>
      </w:pPr>
      <w:r>
        <w:rPr>
          <w:rFonts w:ascii="Arial" w:cs="Arial" w:eastAsia="Arial" w:hAnsi="Arial"/>
          <w:sz w:val="24"/>
          <w:szCs w:val="24"/>
        </w:rPr>
        <w:t xml:space="preserve">- соблюдение законодательства и международных стандартов в области прав человека и гендерного равенства;</w:t>
      </w:r>
    </w:p>
    <w:p>
      <w:pPr>
        <w:spacing w:after="60"/>
        <w:ind w:firstLine="567"/>
        <w:jc w:val="both"/>
      </w:pPr>
      <w:r>
        <w:rPr>
          <w:rFonts w:ascii="Arial" w:cs="Arial" w:eastAsia="Arial" w:hAnsi="Arial"/>
          <w:sz w:val="24"/>
          <w:szCs w:val="24"/>
        </w:rPr>
        <w:t xml:space="preserve">- недопущение гендерной дискриминации, религиозных, культурных и иных обычаев, способствующих гендерному насилию;</w:t>
      </w:r>
    </w:p>
    <w:p>
      <w:pPr>
        <w:spacing w:after="60"/>
        <w:ind w:firstLine="567"/>
        <w:jc w:val="both"/>
      </w:pPr>
      <w:r>
        <w:rPr>
          <w:rFonts w:ascii="Arial" w:cs="Arial" w:eastAsia="Arial" w:hAnsi="Arial"/>
          <w:sz w:val="24"/>
          <w:szCs w:val="24"/>
        </w:rPr>
        <w:t xml:space="preserve">- учет потребностей женщин, несовершеннолетних лиц и лиц с особыми нуждами;</w:t>
      </w:r>
    </w:p>
    <w:p>
      <w:pPr>
        <w:spacing w:after="60"/>
        <w:ind w:firstLine="567"/>
        <w:jc w:val="both"/>
      </w:pPr>
      <w:r>
        <w:rPr>
          <w:rFonts w:ascii="Arial" w:cs="Arial" w:eastAsia="Arial" w:hAnsi="Arial"/>
          <w:sz w:val="24"/>
          <w:szCs w:val="24"/>
        </w:rPr>
        <w:t xml:space="preserve">- ответственность органов взаимодействия за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обязательность взаимодействия государственных органов и органов местного самоуправления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доступность получения помощи пострадавшими от гендерного насилия;</w:t>
      </w:r>
    </w:p>
    <w:p>
      <w:pPr>
        <w:spacing w:after="60"/>
        <w:ind w:firstLine="567"/>
        <w:jc w:val="both"/>
      </w:pPr>
      <w:r>
        <w:rPr>
          <w:rFonts w:ascii="Arial" w:cs="Arial" w:eastAsia="Arial" w:hAnsi="Arial"/>
          <w:sz w:val="24"/>
          <w:szCs w:val="24"/>
        </w:rPr>
        <w:t xml:space="preserve">- интеграция вопросов предотвращения, пресечения и реагирования на гендерное насилие в государственные программы развития, образовательные, информационные и учебные программы, программы по подготовке/переподготовке и повышению квалификации кадров;</w:t>
      </w:r>
    </w:p>
    <w:p>
      <w:pPr>
        <w:spacing w:after="60"/>
        <w:ind w:firstLine="567"/>
        <w:jc w:val="both"/>
      </w:pPr>
      <w:r>
        <w:rPr>
          <w:rFonts w:ascii="Arial" w:cs="Arial" w:eastAsia="Arial" w:hAnsi="Arial"/>
          <w:sz w:val="24"/>
          <w:szCs w:val="24"/>
        </w:rPr>
        <w:t xml:space="preserve">- равный доступ женщин и мужчин к принятию решений в государственных органах, реализующих полномочия по вопросам управления рисками чрезвычайных ситуаций, в оценке, планировании, реализации, мониторинге и итоговой оценке программы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вовлечение местных сообществ, организаций и граждан в процесс предотвращения, пресечения и реагирования на гендерное насилие;</w:t>
      </w:r>
    </w:p>
    <w:p>
      <w:pPr>
        <w:spacing w:after="60"/>
        <w:ind w:firstLine="567"/>
        <w:jc w:val="both"/>
      </w:pPr>
      <w:r>
        <w:rPr>
          <w:rFonts w:ascii="Arial" w:cs="Arial" w:eastAsia="Arial" w:hAnsi="Arial"/>
          <w:sz w:val="24"/>
          <w:szCs w:val="24"/>
        </w:rPr>
        <w:t xml:space="preserve">- повышение уровня осведомленности граждан и организаций в профилактике гендерного насилия, понимания и продвижения гендерного равенства;</w:t>
      </w:r>
    </w:p>
    <w:p>
      <w:pPr>
        <w:spacing w:after="60"/>
        <w:ind w:firstLine="567"/>
        <w:jc w:val="both"/>
      </w:pPr>
      <w:r>
        <w:rPr>
          <w:rFonts w:ascii="Arial" w:cs="Arial" w:eastAsia="Arial" w:hAnsi="Arial"/>
          <w:sz w:val="24"/>
          <w:szCs w:val="24"/>
        </w:rPr>
        <w:t xml:space="preserve">- осуществление субъектами взаимодействия мероприятий по предотвращению, пресечению и реагированию на гендерное насилие в зависимости от этапа (превентивный этап чрезвычайной и кризисной ситуации, этап чрезвычайной и кризисной ситуации, этап реабилитации);</w:t>
      </w:r>
    </w:p>
    <w:p>
      <w:pPr>
        <w:spacing w:after="60"/>
        <w:ind w:firstLine="567"/>
        <w:jc w:val="both"/>
      </w:pPr>
      <w:r>
        <w:rPr>
          <w:rFonts w:ascii="Arial" w:cs="Arial" w:eastAsia="Arial" w:hAnsi="Arial"/>
          <w:sz w:val="24"/>
          <w:szCs w:val="24"/>
        </w:rPr>
        <w:t xml:space="preserve">- приоритет интересов несовершеннолетних лиц при оказании помощи лицам, пострадавшим от гендерного насилия;</w:t>
      </w:r>
    </w:p>
    <w:p>
      <w:pPr>
        <w:spacing w:after="60"/>
        <w:ind w:firstLine="567"/>
        <w:jc w:val="both"/>
      </w:pPr>
      <w:r>
        <w:rPr>
          <w:rFonts w:ascii="Arial" w:cs="Arial" w:eastAsia="Arial" w:hAnsi="Arial"/>
          <w:sz w:val="24"/>
          <w:szCs w:val="24"/>
        </w:rPr>
        <w:t xml:space="preserve">- оказание субъектами взаимодействия помощи лицам, пострадавшим от гендерного насилия, на началах доступности, уважения, конфиденциальности, компетентности, обеспечения физической и психологической безопасности, безвозмездности.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Мероприятия, осуществляемые субъектами органов взаимодействия</w:t>
      </w:r>
    </w:p>
    <w:p>
      <w:pPr>
        <w:spacing w:after="60"/>
        <w:ind w:firstLine="567"/>
        <w:jc w:val="both"/>
      </w:pPr>
      <w:r>
        <w:rPr>
          <w:rFonts w:ascii="Arial" w:cs="Arial" w:eastAsia="Arial" w:hAnsi="Arial"/>
          <w:sz w:val="24"/>
          <w:szCs w:val="24"/>
        </w:rPr>
        <w:t xml:space="preserve">5. Субъекты органов взаимодействия организуют взаимодействие по снижению рисков насилия в отношении женщин и детей на основании ведомственных, межведомственных актов (приказов, инструкций, планов), разрабатываемых на превентивном этапе чрезвычайной и кризисной ситуации.</w:t>
      </w:r>
    </w:p>
    <w:p>
      <w:pPr>
        <w:spacing w:after="60"/>
        <w:ind w:firstLine="567"/>
        <w:jc w:val="both"/>
      </w:pPr>
      <w:r>
        <w:rPr>
          <w:rFonts w:ascii="Arial" w:cs="Arial" w:eastAsia="Arial" w:hAnsi="Arial"/>
          <w:sz w:val="24"/>
          <w:szCs w:val="24"/>
        </w:rPr>
        <w:t xml:space="preserve">В ведомственных и межведомственных актах определяется цель, порядок и формы взаимодействия во время выполнения совместных заданий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Взаимодействие субъектов органов взаимодействия по предотвращению, пресечению и реагированию на гендерное насилие осуществляется на республиканском, областном и районном уровнях.</w:t>
      </w:r>
    </w:p>
    <w:p>
      <w:pPr>
        <w:spacing w:after="60"/>
        <w:ind w:firstLine="567"/>
        <w:jc w:val="both"/>
      </w:pPr>
      <w:r>
        <w:rPr>
          <w:rFonts w:ascii="Arial" w:cs="Arial" w:eastAsia="Arial" w:hAnsi="Arial"/>
          <w:sz w:val="24"/>
          <w:szCs w:val="24"/>
        </w:rPr>
        <w:t xml:space="preserve">6. Субъекты органов взаимодействия осуществляют следующие мероприятия на превентивном этапе чрезвычайной и кризисной ситуации:</w:t>
      </w:r>
    </w:p>
    <w:p>
      <w:pPr>
        <w:spacing w:after="60"/>
        <w:ind w:firstLine="567"/>
        <w:jc w:val="both"/>
      </w:pPr>
      <w:r>
        <w:rPr>
          <w:rFonts w:ascii="Arial" w:cs="Arial" w:eastAsia="Arial" w:hAnsi="Arial"/>
          <w:sz w:val="24"/>
          <w:szCs w:val="24"/>
        </w:rPr>
        <w:t xml:space="preserve">- участвуют в разработке и реализации единой государственной политики, направленной на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разрабатывают проекты нормативных правовых актов Кыргызской Республики, а также ведомственных и межведомственных актов, направленные на предотвращение, пресечение, реагирование на гендерное насилие в условиях чрезвычайных и кризисных ситуаций и ликвидацию их последствий, с учетом потребностей женщин, несовершеннолетних лиц, а также лиц с особыми нуждами;</w:t>
      </w:r>
    </w:p>
    <w:p>
      <w:pPr>
        <w:spacing w:after="60"/>
        <w:ind w:firstLine="567"/>
        <w:jc w:val="both"/>
      </w:pPr>
      <w:r>
        <w:rPr>
          <w:rFonts w:ascii="Arial" w:cs="Arial" w:eastAsia="Arial" w:hAnsi="Arial"/>
          <w:sz w:val="24"/>
          <w:szCs w:val="24"/>
        </w:rPr>
        <w:t xml:space="preserve">- включают в планы Гражданской защиты мероприятия, направленные на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предоставляют комиссии по Гражданской защите информацию, необходимую для выполнения ее задач и функций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включают гендерные вопросы, направленные на оказание экстренной помощи, а также на предотвращение, пресечение и реагирование на гендерное насилие, реабилитацию лиц, пострадавших от гендерного насилия в условиях чрезвычайных и кризисных ситуаций, в программы профессиональной подготовки/переподготовки и повышения квалификации и другие соответствующие виды обучения сотрудников;</w:t>
      </w:r>
    </w:p>
    <w:p>
      <w:pPr>
        <w:spacing w:after="60"/>
        <w:ind w:firstLine="567"/>
        <w:jc w:val="both"/>
      </w:pPr>
      <w:r>
        <w:rPr>
          <w:rFonts w:ascii="Arial" w:cs="Arial" w:eastAsia="Arial" w:hAnsi="Arial"/>
          <w:sz w:val="24"/>
          <w:szCs w:val="24"/>
        </w:rPr>
        <w:t xml:space="preserve">- не реже одного раз в год, проводят учебно-тренировочные мероприятия, направленные на отработку механизма взаимодействия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обеспечивают готовность бесплатной консультативной помощи (юридические, информационные, медицинские, психологические и иные услуги) к условиям чрезвычайных и кризисных ситуаций для предотвращения, пресечения и реагирования на гендерное насилие;</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60"/>
        <w:ind w:firstLine="567"/>
        <w:jc w:val="both"/>
      </w:pPr>
      <w:r>
        <w:rPr>
          <w:rFonts w:ascii="Arial" w:cs="Arial" w:eastAsia="Arial" w:hAnsi="Arial"/>
          <w:sz w:val="24"/>
          <w:szCs w:val="24"/>
        </w:rPr>
        <w:t xml:space="preserve">7. Субъекты органов взаимодействия осуществляют следующие мероприятия на этапе чрезвычайной и кризисной ситуации:</w:t>
      </w:r>
    </w:p>
    <w:p>
      <w:pPr>
        <w:spacing w:after="60"/>
        <w:ind w:firstLine="567"/>
        <w:jc w:val="both"/>
      </w:pPr>
      <w:r>
        <w:rPr>
          <w:rFonts w:ascii="Arial" w:cs="Arial" w:eastAsia="Arial" w:hAnsi="Arial"/>
          <w:sz w:val="24"/>
          <w:szCs w:val="24"/>
        </w:rPr>
        <w:t xml:space="preserve">- предоставляют пострадавшим от гендерного насилия информацию по оказанию медицинской, психологической, социальной, юридической и иных видов помощи во время чрезвычайных и кризисных ситуаций, о пунктах предоставления безопасного места;</w:t>
      </w:r>
    </w:p>
    <w:p>
      <w:pPr>
        <w:spacing w:after="60"/>
        <w:ind w:firstLine="567"/>
        <w:jc w:val="both"/>
      </w:pPr>
      <w:r>
        <w:rPr>
          <w:rFonts w:ascii="Arial" w:cs="Arial" w:eastAsia="Arial" w:hAnsi="Arial"/>
          <w:sz w:val="24"/>
          <w:szCs w:val="24"/>
        </w:rPr>
        <w:t xml:space="preserve">- выявляют лиц, пострадавших от гендерного насилия;</w:t>
      </w:r>
    </w:p>
    <w:p>
      <w:pPr>
        <w:spacing w:after="60"/>
        <w:ind w:firstLine="567"/>
        <w:jc w:val="both"/>
      </w:pPr>
      <w:r>
        <w:rPr>
          <w:rFonts w:ascii="Arial" w:cs="Arial" w:eastAsia="Arial" w:hAnsi="Arial"/>
          <w:sz w:val="24"/>
          <w:szCs w:val="24"/>
        </w:rPr>
        <w:t xml:space="preserve">- информируют население о возможности обращения в органы внутренних дел, медицинские учреждения, кризисные центры и другие социальные службы;</w:t>
      </w:r>
    </w:p>
    <w:p>
      <w:pPr>
        <w:spacing w:after="60"/>
        <w:ind w:firstLine="567"/>
        <w:jc w:val="both"/>
      </w:pPr>
      <w:r>
        <w:rPr>
          <w:rFonts w:ascii="Arial" w:cs="Arial" w:eastAsia="Arial" w:hAnsi="Arial"/>
          <w:sz w:val="24"/>
          <w:szCs w:val="24"/>
        </w:rPr>
        <w:t xml:space="preserve">- предоставляют лицам, пострадавшим от гендерного насилия, информацию о важности незамедлительного обращения за медицинской помощью в целях профилактики нежелательной беременности, заражения инфекциями, передаваемыми половым путем (далее - ИППП), включая гепатит В и гепатит С, вирусом иммунодефицита человека (далее - ВИЧ-инфекции);</w:t>
      </w:r>
    </w:p>
    <w:p>
      <w:pPr>
        <w:spacing w:after="60"/>
        <w:ind w:firstLine="567"/>
        <w:jc w:val="both"/>
      </w:pPr>
      <w:r>
        <w:rPr>
          <w:rFonts w:ascii="Arial" w:cs="Arial" w:eastAsia="Arial" w:hAnsi="Arial"/>
          <w:sz w:val="24"/>
          <w:szCs w:val="24"/>
        </w:rPr>
        <w:t xml:space="preserve">- оказывают экстренную помощь лицам, пострадавшим от гендерного насилия в пределах своей компетенции;</w:t>
      </w:r>
    </w:p>
    <w:p>
      <w:pPr>
        <w:spacing w:after="60"/>
        <w:ind w:firstLine="567"/>
        <w:jc w:val="both"/>
      </w:pPr>
      <w:r>
        <w:rPr>
          <w:rFonts w:ascii="Arial" w:cs="Arial" w:eastAsia="Arial" w:hAnsi="Arial"/>
          <w:sz w:val="24"/>
          <w:szCs w:val="24"/>
        </w:rPr>
        <w:t xml:space="preserve">- незамедлительно сообщают о фактах гендерного насилия в органы внутренних дел, с согласия лиц, пострадавших от гендерного насилия, а если пострадавшим/пострадавшей является несовершеннолетнее или недееспособное лицо - с согласия их законных представителей;</w:t>
      </w:r>
    </w:p>
    <w:p>
      <w:pPr>
        <w:spacing w:after="60"/>
        <w:ind w:firstLine="567"/>
        <w:jc w:val="both"/>
      </w:pPr>
      <w:r>
        <w:rPr>
          <w:rFonts w:ascii="Arial" w:cs="Arial" w:eastAsia="Arial" w:hAnsi="Arial"/>
          <w:sz w:val="24"/>
          <w:szCs w:val="24"/>
        </w:rPr>
        <w:t xml:space="preserve">- обеспечивают отправку лиц, пострадавших от гендерного насилия, с их согласия или согласия их законных представителей, в учреждения уполномоченного органа в сфере социального развития, во временные лагеря, кризисные центры или другие безопасные места для оказания необходимой помощи;</w:t>
      </w:r>
    </w:p>
    <w:p>
      <w:pPr>
        <w:spacing w:after="60"/>
        <w:ind w:firstLine="567"/>
        <w:jc w:val="both"/>
      </w:pPr>
      <w:r>
        <w:rPr>
          <w:rFonts w:ascii="Arial" w:cs="Arial" w:eastAsia="Arial" w:hAnsi="Arial"/>
          <w:sz w:val="24"/>
          <w:szCs w:val="24"/>
        </w:rPr>
        <w:t xml:space="preserve">- принимают меры к обеспечению безопасности лиц, пострадавших от гендерного насилия, в местах их временного пребывания;</w:t>
      </w:r>
    </w:p>
    <w:p>
      <w:pPr>
        <w:spacing w:after="60"/>
        <w:ind w:firstLine="567"/>
        <w:jc w:val="both"/>
      </w:pPr>
      <w:r>
        <w:rPr>
          <w:rFonts w:ascii="Arial" w:cs="Arial" w:eastAsia="Arial" w:hAnsi="Arial"/>
          <w:sz w:val="24"/>
          <w:szCs w:val="24"/>
        </w:rPr>
        <w:t xml:space="preserve">- проводят профилактическую работу среди населения о недопустимости гендерного насилия;</w:t>
      </w:r>
    </w:p>
    <w:p>
      <w:pPr>
        <w:spacing w:after="60"/>
        <w:ind w:firstLine="567"/>
        <w:jc w:val="both"/>
      </w:pPr>
      <w:r>
        <w:rPr>
          <w:rFonts w:ascii="Arial" w:cs="Arial" w:eastAsia="Arial" w:hAnsi="Arial"/>
          <w:sz w:val="24"/>
          <w:szCs w:val="24"/>
        </w:rPr>
        <w:t xml:space="preserve">- осуществляют сбор данных о количестве лиц, пострадавших от гендерного насилия;</w:t>
      </w:r>
    </w:p>
    <w:p>
      <w:pPr>
        <w:spacing w:after="60"/>
        <w:ind w:firstLine="567"/>
        <w:jc w:val="both"/>
      </w:pPr>
      <w:r>
        <w:rPr>
          <w:rFonts w:ascii="Arial" w:cs="Arial" w:eastAsia="Arial" w:hAnsi="Arial"/>
          <w:sz w:val="24"/>
          <w:szCs w:val="24"/>
        </w:rPr>
        <w:t xml:space="preserve">- направляют информацию об обращениях по фактам гендерного насилия в комиссию по Гражданской защите для разработки плана дальнейших действий;</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60"/>
        <w:ind w:firstLine="567"/>
        <w:jc w:val="both"/>
      </w:pPr>
      <w:r>
        <w:rPr>
          <w:rFonts w:ascii="Arial" w:cs="Arial" w:eastAsia="Arial" w:hAnsi="Arial"/>
          <w:sz w:val="24"/>
          <w:szCs w:val="24"/>
        </w:rPr>
        <w:t xml:space="preserve">8. Субъекты органов взаимодействия осуществляют следующие мероприятия на этапе реабилитации:</w:t>
      </w:r>
    </w:p>
    <w:p>
      <w:pPr>
        <w:spacing w:after="60"/>
        <w:ind w:firstLine="567"/>
        <w:jc w:val="both"/>
      </w:pPr>
      <w:r>
        <w:rPr>
          <w:rFonts w:ascii="Arial" w:cs="Arial" w:eastAsia="Arial" w:hAnsi="Arial"/>
          <w:sz w:val="24"/>
          <w:szCs w:val="24"/>
        </w:rPr>
        <w:t xml:space="preserve">- обобщают и направляют информацию о фактах гендерного насилия, с дифференциацией по возрасту и полу, количеству пострадавших от гендерного насилия и погибших в комиссии по Гражданской защите;</w:t>
      </w:r>
    </w:p>
    <w:p>
      <w:pPr>
        <w:spacing w:after="60"/>
        <w:ind w:firstLine="567"/>
        <w:jc w:val="both"/>
      </w:pPr>
      <w:r>
        <w:rPr>
          <w:rFonts w:ascii="Arial" w:cs="Arial" w:eastAsia="Arial" w:hAnsi="Arial"/>
          <w:sz w:val="24"/>
          <w:szCs w:val="24"/>
        </w:rPr>
        <w:t xml:space="preserve">- обеспечивают отправку лиц, пострадавших от гендерного насилия в условиях чрезвычайных и кризисных ситуаций, в соответствующие медицинские учреждения и социальные службы, с их согласия или согласия законных представителей;</w:t>
      </w:r>
    </w:p>
    <w:p>
      <w:pPr>
        <w:spacing w:after="60"/>
        <w:ind w:firstLine="567"/>
        <w:jc w:val="both"/>
      </w:pPr>
      <w:r>
        <w:rPr>
          <w:rFonts w:ascii="Arial" w:cs="Arial" w:eastAsia="Arial" w:hAnsi="Arial"/>
          <w:sz w:val="24"/>
          <w:szCs w:val="24"/>
        </w:rPr>
        <w:t xml:space="preserve">- проводят мониторинг и оценку своей деятельности по предотвращению, пресечению и реагированию на гендерное насилие, вырабатывают рекомендации по ее совершенствованию;</w:t>
      </w:r>
    </w:p>
    <w:p>
      <w:pPr>
        <w:spacing w:after="60"/>
        <w:ind w:firstLine="567"/>
        <w:jc w:val="both"/>
      </w:pPr>
      <w:r>
        <w:rPr>
          <w:rFonts w:ascii="Arial" w:cs="Arial" w:eastAsia="Arial" w:hAnsi="Arial"/>
          <w:sz w:val="24"/>
          <w:szCs w:val="24"/>
        </w:rPr>
        <w:t xml:space="preserve">- организуют реабилитацию своих сотрудников, задействованных в чрезвычайных и кризисных ситуациях;</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v9jco3fm9z6jftpfxhdf">
      <w:r>
        <w:rPr>
          <w:rFonts w:ascii="Arial" w:cs="Arial" w:eastAsia="Arial" w:hAnsi="Arial"/>
          <w:color w:val="132D3F"/>
          <w:sz w:val="16"/>
          <w:szCs w:val="16"/>
          <w:u w:val="single"/>
        </w:rPr>
        <w:t xml:space="preserve">dalil.kg/document/157029</w:t>
      </w:r>
    </w:hyperlink>
  </w:p>
  <w:p>
    <w:pPr>
      <w:spacing w:after="0" w:before="40"/>
      <w:jc w:val="center"/>
    </w:pPr>
    <w:hyperlink w:history="1" r:id="rIdgoh66rk2zeaoqz2gi23q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u_bkrflliwhnprsvtn1" Type="http://schemas.openxmlformats.org/officeDocument/2006/relationships/hyperlink" Target="https://dalil.kg/document/157028" TargetMode="External"/><Relationship Id="rIdyqxqk3j8g0kpufvnmf4cn" Type="http://schemas.openxmlformats.org/officeDocument/2006/relationships/hyperlink" Target="https://dalil.kg/document/230000319" TargetMode="External"/><Relationship Id="rIdr18hkvdtlix6ilumbrjxl" Type="http://schemas.openxmlformats.org/officeDocument/2006/relationships/hyperlink" Target="https://dalil.kg/document/230000319" TargetMode="External"/><Relationship Id="rIdnzmp2u02nawufk9-mwoo7" Type="http://schemas.openxmlformats.org/officeDocument/2006/relationships/hyperlink" Target="https://dalil.kg/document/23000031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v9jco3fm9z6jftpfxhdf" Type="http://schemas.openxmlformats.org/officeDocument/2006/relationships/hyperlink" Target="https://dalil.kg/document/157029" TargetMode="External"/><Relationship Id="rIdgoh66rk2zeaoqz2gi23q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2026-09-28T06:04:47.751Z</dcterms:created>
  <dcterms:modified xsi:type="dcterms:W3CDTF">2026-09-28T06:04:47.751Z</dcterms:modified>
</cp:coreProperties>
</file>

<file path=docProps/custom.xml><?xml version="1.0" encoding="utf-8"?>
<Properties xmlns="http://schemas.openxmlformats.org/officeDocument/2006/custom-properties" xmlns:vt="http://schemas.openxmlformats.org/officeDocument/2006/docPropsVTypes"/>
</file>