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080fkeada2vmewbwbf-m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5 сентября 2019 года № 452)</w:t>
      </w:r>
    </w:p>
    <w:p>
      <w:pPr>
        <w:spacing w:after="400" w:before="400"/>
        <w:jc w:val="center"/>
      </w:pPr>
      <w:r>
        <w:rPr>
          <w:rFonts w:ascii="Arial" w:cs="Arial" w:eastAsia="Arial" w:hAnsi="Arial"/>
          <w:b/>
          <w:bCs/>
          <w:sz w:val="32"/>
          <w:szCs w:val="32"/>
        </w:rPr>
        <w:t xml:space="preserve">МЕТОДИКА
 оценки муниципального индекса бюджетной прозрачности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Методика устанавливает систему показателей, характеризующих бюджетную прозрачность на уровне местного самоуправления.</w:t>
      </w:r>
    </w:p>
    <w:p>
      <w:pPr>
        <w:spacing w:after="60"/>
        <w:ind w:firstLine="567"/>
        <w:jc w:val="both"/>
      </w:pPr>
      <w:r>
        <w:rPr>
          <w:rFonts w:ascii="Arial" w:cs="Arial" w:eastAsia="Arial" w:hAnsi="Arial"/>
          <w:sz w:val="24"/>
          <w:szCs w:val="24"/>
        </w:rPr>
        <w:t xml:space="preserve">2. При оценке индикаторов бюджетной прозрачности используются данные отчетности об исполнении местного бюджета, статистической отчетности, аудиторский отчет Счетной палаты Кыргызской Республики (далее - Счетная палата), программы социально-экономического развития.</w:t>
      </w:r>
    </w:p>
    <w:p>
      <w:pPr>
        <w:spacing w:after="60"/>
        <w:ind w:firstLine="567"/>
        <w:jc w:val="both"/>
      </w:pPr>
      <w:r>
        <w:rPr>
          <w:rFonts w:ascii="Arial" w:cs="Arial" w:eastAsia="Arial" w:hAnsi="Arial"/>
          <w:sz w:val="24"/>
          <w:szCs w:val="24"/>
        </w:rPr>
        <w:t xml:space="preserve">3. Оценка бюджетной прозрачности производится по балльной системе и рассчитывается по формуле, определенной согласно настоящей Методике.</w:t>
      </w:r>
    </w:p>
    <w:p>
      <w:pPr>
        <w:spacing w:after="60"/>
        <w:ind w:firstLine="567"/>
        <w:jc w:val="both"/>
      </w:pPr>
      <w:r>
        <w:rPr>
          <w:rFonts w:ascii="Arial" w:cs="Arial" w:eastAsia="Arial" w:hAnsi="Arial"/>
          <w:sz w:val="24"/>
          <w:szCs w:val="24"/>
        </w:rPr>
        <w:t xml:space="preserve">4. При непредоставлении исходных данных для определения значения какого-либо из показателей бюджетной прозрачности орган местного самоуправления (далее - МСУ) получает 0 баллов.</w:t>
      </w:r>
    </w:p>
    <w:p>
      <w:pPr>
        <w:spacing w:after="60"/>
        <w:ind w:firstLine="567"/>
        <w:jc w:val="both"/>
      </w:pPr>
      <w:r>
        <w:rPr>
          <w:rFonts w:ascii="Arial" w:cs="Arial" w:eastAsia="Arial" w:hAnsi="Arial"/>
          <w:sz w:val="24"/>
          <w:szCs w:val="24"/>
        </w:rPr>
        <w:t xml:space="preserve">5. Оценка бюджетной прозрачности определяется суммой оценок по всем показателям по соответствующим группам показателей по следующей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ИБП = SUM (Gj * SWj),</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ИБП - итоговая оценка бюджетной прозрачности местного бюджета;</w:t>
      </w:r>
    </w:p>
    <w:p>
      <w:pPr>
        <w:spacing w:after="60"/>
        <w:ind w:firstLine="567"/>
        <w:jc w:val="both"/>
      </w:pPr>
      <w:r>
        <w:rPr>
          <w:rFonts w:ascii="Arial" w:cs="Arial" w:eastAsia="Arial" w:hAnsi="Arial"/>
          <w:sz w:val="24"/>
          <w:szCs w:val="24"/>
        </w:rPr>
        <w:t xml:space="preserve">Gj - оценка по j-й группе показателей;</w:t>
      </w:r>
    </w:p>
    <w:p>
      <w:pPr>
        <w:spacing w:after="60"/>
        <w:ind w:firstLine="567"/>
        <w:jc w:val="both"/>
      </w:pPr>
      <w:r>
        <w:rPr>
          <w:rFonts w:ascii="Arial" w:cs="Arial" w:eastAsia="Arial" w:hAnsi="Arial"/>
          <w:sz w:val="24"/>
          <w:szCs w:val="24"/>
        </w:rPr>
        <w:t xml:space="preserve">SWj - коэффициент по j-й группе показателей, значения которого определены в таблице 1 главы 6.</w:t>
      </w:r>
    </w:p>
    <w:p>
      <w:pPr>
        <w:spacing w:after="200" w:before="200"/>
        <w:jc w:val="center"/>
      </w:pPr>
      <w:r>
        <w:rPr>
          <w:rFonts w:ascii="Arial" w:cs="Arial" w:eastAsia="Arial" w:hAnsi="Arial"/>
          <w:b/>
          <w:bCs/>
          <w:sz w:val="24"/>
          <w:szCs w:val="24"/>
        </w:rPr>
        <w:t xml:space="preserve">Глава 2. Показатели состава и наглядности бюджетной информации</w:t>
      </w:r>
    </w:p>
    <w:p>
      <w:pPr>
        <w:spacing w:after="60"/>
        <w:ind w:firstLine="567"/>
        <w:jc w:val="both"/>
      </w:pPr>
      <w:r>
        <w:rPr>
          <w:rFonts w:ascii="Arial" w:cs="Arial" w:eastAsia="Arial" w:hAnsi="Arial"/>
          <w:sz w:val="24"/>
          <w:szCs w:val="24"/>
        </w:rPr>
        <w:t xml:space="preserve">6. Показатели состава и наглядности бюджетной информации оценивают наличие и соответствие бюджетных документов и информации по определенной структуре и форме определения информации. В их состав включаются: местный бюджет, гражданский бюджет органа МСУ, годовой отчет по исполнению местного бюджета, показывающий фактическое поступление доходов и исполнение плана расходов в разрезе основных расходов, аудиторский отчет Счетной палаты и программа социально-экономического развития.</w:t>
      </w:r>
    </w:p>
    <w:p>
      <w:pPr>
        <w:spacing w:after="200" w:before="200"/>
        <w:jc w:val="center"/>
      </w:pPr>
      <w:r>
        <w:rPr>
          <w:rFonts w:ascii="Arial" w:cs="Arial" w:eastAsia="Arial" w:hAnsi="Arial"/>
          <w:b/>
          <w:bCs/>
          <w:sz w:val="24"/>
          <w:szCs w:val="24"/>
        </w:rPr>
        <w:t xml:space="preserve">§ 1. Показатель К1 "Утвержденный местный бюджет с использованием инфографики"</w:t>
      </w:r>
    </w:p>
    <w:p>
      <w:pPr>
        <w:spacing w:after="60"/>
        <w:ind w:firstLine="567"/>
        <w:jc w:val="both"/>
      </w:pPr>
      <w:r>
        <w:rPr>
          <w:rFonts w:ascii="Arial" w:cs="Arial" w:eastAsia="Arial" w:hAnsi="Arial"/>
          <w:sz w:val="24"/>
          <w:szCs w:val="24"/>
        </w:rPr>
        <w:t xml:space="preserve">7. Опубликование утвержденных бюджетов и отчетов об их исполнении соответствует принципу прозрачности (открытости) бюджетной системы Кыргызской Республики. Исполнение данного показателя характеризует повышение качества и прозрачность бюджетного процесса.</w:t>
      </w:r>
    </w:p>
    <w:p>
      <w:pPr>
        <w:spacing w:after="60"/>
        <w:ind w:firstLine="567"/>
        <w:jc w:val="both"/>
      </w:pPr>
      <w:r>
        <w:rPr>
          <w:rFonts w:ascii="Arial" w:cs="Arial" w:eastAsia="Arial" w:hAnsi="Arial"/>
          <w:sz w:val="24"/>
          <w:szCs w:val="24"/>
        </w:rPr>
        <w:t xml:space="preserve">8. Данный показатель отражает, насколько доступно проведены процедуры по формированию бюджетных доходов и расходов, соответствует ли бюджет утвержденной функциональной и экономической классификации и использована ли инфографика.</w:t>
      </w:r>
    </w:p>
    <w:p>
      <w:pPr>
        <w:spacing w:after="200" w:before="200"/>
        <w:jc w:val="center"/>
      </w:pPr>
      <w:r>
        <w:rPr>
          <w:rFonts w:ascii="Arial" w:cs="Arial" w:eastAsia="Arial" w:hAnsi="Arial"/>
          <w:b/>
          <w:bCs/>
          <w:sz w:val="24"/>
          <w:szCs w:val="24"/>
        </w:rPr>
        <w:t xml:space="preserve">§ 2. Показатель К2 "Гражданский бюджет органа МСУ"</w:t>
      </w:r>
    </w:p>
    <w:p>
      <w:pPr>
        <w:spacing w:after="60"/>
        <w:ind w:firstLine="567"/>
        <w:jc w:val="both"/>
      </w:pPr>
      <w:r>
        <w:rPr>
          <w:rFonts w:ascii="Arial" w:cs="Arial" w:eastAsia="Arial" w:hAnsi="Arial"/>
          <w:sz w:val="24"/>
          <w:szCs w:val="24"/>
        </w:rPr>
        <w:t xml:space="preserve">9. Гражданский бюджет предоставляет гражданам информацию о решениях, параметрах и приоритетах местного бюджета на соответствующий бюджетный период в простой и доступной для их понимания форме. Гражданский бюджет составляется на основе официальных бюджетных документов.</w:t>
      </w:r>
    </w:p>
    <w:p>
      <w:pPr>
        <w:spacing w:after="60"/>
        <w:ind w:firstLine="567"/>
        <w:jc w:val="both"/>
      </w:pPr>
      <w:r>
        <w:rPr>
          <w:rFonts w:ascii="Arial" w:cs="Arial" w:eastAsia="Arial" w:hAnsi="Arial"/>
          <w:sz w:val="24"/>
          <w:szCs w:val="24"/>
        </w:rPr>
        <w:t xml:space="preserve">10. Данный показатель отражает наличие документа, который должен включать: доходы и расходы местного бюджета за 1 год, с инфографикой.</w:t>
      </w:r>
    </w:p>
    <w:p>
      <w:pPr>
        <w:spacing w:after="200" w:before="200"/>
        <w:jc w:val="center"/>
      </w:pPr>
      <w:r>
        <w:rPr>
          <w:rFonts w:ascii="Arial" w:cs="Arial" w:eastAsia="Arial" w:hAnsi="Arial"/>
          <w:b/>
          <w:bCs/>
          <w:sz w:val="24"/>
          <w:szCs w:val="24"/>
        </w:rPr>
        <w:t xml:space="preserve">§ 3. Показатель К3 "Годовой отчет об исполнении местного бюджета, с использованием инфографики"</w:t>
      </w:r>
    </w:p>
    <w:p>
      <w:pPr>
        <w:spacing w:after="60"/>
        <w:ind w:firstLine="567"/>
        <w:jc w:val="both"/>
      </w:pPr>
      <w:r>
        <w:rPr>
          <w:rFonts w:ascii="Arial" w:cs="Arial" w:eastAsia="Arial" w:hAnsi="Arial"/>
          <w:sz w:val="24"/>
          <w:szCs w:val="24"/>
        </w:rPr>
        <w:t xml:space="preserve">11. Годовой отчет об исполнении местного бюджета отражает отчет об исполнении местного бюджета за прошедший год, утвержденный постановлением местного кенеша. Данный показатель отслеживает наличие отчета об исполнении местного бюджета за прошедший год, с использованием инфографики.</w:t>
      </w:r>
    </w:p>
    <w:p>
      <w:pPr>
        <w:spacing w:after="200" w:before="200"/>
        <w:jc w:val="center"/>
      </w:pPr>
      <w:r>
        <w:rPr>
          <w:rFonts w:ascii="Arial" w:cs="Arial" w:eastAsia="Arial" w:hAnsi="Arial"/>
          <w:b/>
          <w:bCs/>
          <w:sz w:val="24"/>
          <w:szCs w:val="24"/>
        </w:rPr>
        <w:t xml:space="preserve">§ 4. Показатель К4 "Аудиторский отчет Счетной палаты"</w:t>
      </w:r>
    </w:p>
    <w:p>
      <w:pPr>
        <w:spacing w:after="60"/>
        <w:ind w:firstLine="567"/>
        <w:jc w:val="both"/>
      </w:pPr>
      <w:r>
        <w:rPr>
          <w:rFonts w:ascii="Arial" w:cs="Arial" w:eastAsia="Arial" w:hAnsi="Arial"/>
          <w:sz w:val="24"/>
          <w:szCs w:val="24"/>
        </w:rPr>
        <w:t xml:space="preserve">12. Аудиторский отчет Счетной палаты, составляемый Счетной палатой по результатам аудита местного бюджета. Он может включать информацию о нарушениях, допущенных органами МСУ в ходе бюджетного процесса.</w:t>
      </w:r>
    </w:p>
    <w:p>
      <w:pPr>
        <w:spacing w:after="60"/>
        <w:ind w:firstLine="567"/>
        <w:jc w:val="both"/>
      </w:pPr>
      <w:r>
        <w:rPr>
          <w:rFonts w:ascii="Arial" w:cs="Arial" w:eastAsia="Arial" w:hAnsi="Arial"/>
          <w:sz w:val="24"/>
          <w:szCs w:val="24"/>
        </w:rPr>
        <w:t xml:space="preserve">13. Данный показатель отражает полноту и доступность информации по отчету Счетной палаты, с приложением отдельно сгруппированных предписаний и рекомендаций в адрес органа МСУ.</w:t>
      </w:r>
    </w:p>
    <w:p>
      <w:pPr>
        <w:spacing w:after="60"/>
        <w:ind w:firstLine="567"/>
        <w:jc w:val="both"/>
      </w:pPr>
      <w:r>
        <w:rPr>
          <w:rFonts w:ascii="Arial" w:cs="Arial" w:eastAsia="Arial" w:hAnsi="Arial"/>
          <w:sz w:val="24"/>
          <w:szCs w:val="24"/>
        </w:rPr>
        <w:t xml:space="preserve">14. В случае объективной причины отсутствия документа или информации (например, показатель К4 "Аудиторский отчет Счетной палаты" в органе МСУ отсутствует, так как в текущем году местный бюджет данного органа МСУ не вошел в план аудита), критерий считается выполненным и присуждается 10 баллов. В случае отказа предоставления документа (информации) органами МСУ, выставляется 0 баллов.</w:t>
      </w:r>
    </w:p>
    <w:p>
      <w:pPr>
        <w:spacing w:after="200" w:before="200"/>
        <w:jc w:val="center"/>
      </w:pPr>
      <w:r>
        <w:rPr>
          <w:rFonts w:ascii="Arial" w:cs="Arial" w:eastAsia="Arial" w:hAnsi="Arial"/>
          <w:b/>
          <w:bCs/>
          <w:sz w:val="24"/>
          <w:szCs w:val="24"/>
        </w:rPr>
        <w:t xml:space="preserve">§ 5. Показатель K5 "Программа социально-экономического развития (или другой стратегический документ)"</w:t>
      </w:r>
    </w:p>
    <w:p>
      <w:pPr>
        <w:spacing w:after="60"/>
        <w:ind w:firstLine="567"/>
        <w:jc w:val="both"/>
      </w:pPr>
      <w:r>
        <w:rPr>
          <w:rFonts w:ascii="Arial" w:cs="Arial" w:eastAsia="Arial" w:hAnsi="Arial"/>
          <w:sz w:val="24"/>
          <w:szCs w:val="24"/>
        </w:rPr>
        <w:t xml:space="preserve">15. Программа социально-экономического развития - документ, содержащий цели, задачи и мероприятия социально-экономического развития городов и айылных аймаков, определяющий основные направления и приоритеты фискальной политики на предстоящий период.</w:t>
      </w:r>
    </w:p>
    <w:p>
      <w:pPr>
        <w:spacing w:after="60"/>
        <w:ind w:firstLine="567"/>
        <w:jc w:val="both"/>
      </w:pPr>
      <w:r>
        <w:rPr>
          <w:rFonts w:ascii="Arial" w:cs="Arial" w:eastAsia="Arial" w:hAnsi="Arial"/>
          <w:sz w:val="24"/>
          <w:szCs w:val="24"/>
        </w:rPr>
        <w:t xml:space="preserve">16. Данный показатель отражает насколько в доступной для граждан форме (с инфографикой) показаны направления программы (изменения программы в случае их принятия), источники финансирования и ожидаемые результаты.</w:t>
      </w:r>
    </w:p>
    <w:p>
      <w:pPr>
        <w:spacing w:after="200" w:before="200"/>
        <w:jc w:val="center"/>
      </w:pPr>
      <w:r>
        <w:rPr>
          <w:rFonts w:ascii="Arial" w:cs="Arial" w:eastAsia="Arial" w:hAnsi="Arial"/>
          <w:b/>
          <w:bCs/>
          <w:sz w:val="24"/>
          <w:szCs w:val="24"/>
        </w:rPr>
        <w:t xml:space="preserve">Глава 3. Показатели прозрачности бюджетного процесса</w:t>
      </w:r>
    </w:p>
    <w:p>
      <w:pPr>
        <w:spacing w:after="60"/>
        <w:ind w:firstLine="567"/>
        <w:jc w:val="both"/>
      </w:pPr>
      <w:r>
        <w:rPr>
          <w:rFonts w:ascii="Arial" w:cs="Arial" w:eastAsia="Arial" w:hAnsi="Arial"/>
          <w:sz w:val="24"/>
          <w:szCs w:val="24"/>
        </w:rPr>
        <w:t xml:space="preserve">17. Показатели прозрачности бюджетного процесса оценивают доступность бюджетной информации для граждан:</w:t>
      </w:r>
    </w:p>
    <w:p>
      <w:pPr>
        <w:spacing w:after="60"/>
        <w:ind w:firstLine="567"/>
        <w:jc w:val="both"/>
      </w:pPr>
      <w:r>
        <w:rPr>
          <w:rFonts w:ascii="Arial" w:cs="Arial" w:eastAsia="Arial" w:hAnsi="Arial"/>
          <w:sz w:val="24"/>
          <w:szCs w:val="24"/>
        </w:rPr>
        <w:t xml:space="preserve">- наличие информационной доски, посредством которой реализуется принцип прозрачности бюджета (К6);</w:t>
      </w:r>
    </w:p>
    <w:p>
      <w:pPr>
        <w:spacing w:after="60"/>
        <w:ind w:firstLine="567"/>
        <w:jc w:val="both"/>
      </w:pPr>
      <w:r>
        <w:rPr>
          <w:rFonts w:ascii="Arial" w:cs="Arial" w:eastAsia="Arial" w:hAnsi="Arial"/>
          <w:sz w:val="24"/>
          <w:szCs w:val="24"/>
        </w:rPr>
        <w:t xml:space="preserve">- наличие официального интернет-портала (сайта) (К7);</w:t>
      </w:r>
    </w:p>
    <w:p>
      <w:pPr>
        <w:spacing w:after="60"/>
        <w:ind w:firstLine="567"/>
        <w:jc w:val="both"/>
      </w:pPr>
      <w:r>
        <w:rPr>
          <w:rFonts w:ascii="Arial" w:cs="Arial" w:eastAsia="Arial" w:hAnsi="Arial"/>
          <w:sz w:val="24"/>
          <w:szCs w:val="24"/>
        </w:rPr>
        <w:t xml:space="preserve">- размещение документов (информации) на доске (сайте) (К8);</w:t>
      </w:r>
    </w:p>
    <w:p>
      <w:pPr>
        <w:spacing w:after="60"/>
        <w:ind w:firstLine="567"/>
        <w:jc w:val="both"/>
      </w:pPr>
      <w:r>
        <w:rPr>
          <w:rFonts w:ascii="Arial" w:cs="Arial" w:eastAsia="Arial" w:hAnsi="Arial"/>
          <w:sz w:val="24"/>
          <w:szCs w:val="24"/>
        </w:rPr>
        <w:t xml:space="preserve">- обратная связь по основным вопросам бюджетных слушаний и размещение информации на доске (сайте) (К9);</w:t>
      </w:r>
    </w:p>
    <w:p>
      <w:pPr>
        <w:spacing w:after="60"/>
        <w:ind w:firstLine="567"/>
        <w:jc w:val="both"/>
      </w:pPr>
      <w:r>
        <w:rPr>
          <w:rFonts w:ascii="Arial" w:cs="Arial" w:eastAsia="Arial" w:hAnsi="Arial"/>
          <w:sz w:val="24"/>
          <w:szCs w:val="24"/>
        </w:rPr>
        <w:t xml:space="preserve">- использование электронной почты для связи с сообществом (К10).</w:t>
      </w:r>
    </w:p>
    <w:p>
      <w:pPr>
        <w:spacing w:after="60"/>
        <w:ind w:firstLine="567"/>
        <w:jc w:val="both"/>
      </w:pPr>
      <w:r>
        <w:rPr>
          <w:rFonts w:ascii="Arial" w:cs="Arial" w:eastAsia="Arial" w:hAnsi="Arial"/>
          <w:sz w:val="24"/>
          <w:szCs w:val="24"/>
        </w:rPr>
        <w:t xml:space="preserve">18. При проверке наличия официального интернет-портала (сайта) органа МСУ и размещения на нем информации учитывается опубликование информации на официальном сайте самого органа МСУ или местной государственной администрации, или полномочного представителя Правительства Кыргызской Республики в соответствующей области, или уполномоченного государственного органа по делам местного самоуправления.</w:t>
      </w:r>
    </w:p>
    <w:p>
      <w:pPr>
        <w:spacing w:after="60"/>
        <w:ind w:firstLine="567"/>
        <w:jc w:val="both"/>
      </w:pPr>
      <w:r>
        <w:rPr>
          <w:rFonts w:ascii="Arial" w:cs="Arial" w:eastAsia="Arial" w:hAnsi="Arial"/>
          <w:sz w:val="24"/>
          <w:szCs w:val="24"/>
        </w:rPr>
        <w:t xml:space="preserve">19. Данные показатели применяются для расчета коэффициента доступности, применяемого к сводному показателю состава и наглядности бюджетной информации.</w:t>
      </w:r>
    </w:p>
    <w:p>
      <w:pPr>
        <w:spacing w:after="200" w:before="200"/>
        <w:jc w:val="center"/>
      </w:pPr>
      <w:r>
        <w:rPr>
          <w:rFonts w:ascii="Arial" w:cs="Arial" w:eastAsia="Arial" w:hAnsi="Arial"/>
          <w:b/>
          <w:bCs/>
          <w:sz w:val="24"/>
          <w:szCs w:val="24"/>
        </w:rPr>
        <w:t xml:space="preserve">Глава 4. Показатели участия граждан в бюджетном процессе</w:t>
      </w:r>
    </w:p>
    <w:p>
      <w:pPr>
        <w:spacing w:after="60"/>
        <w:ind w:firstLine="567"/>
        <w:jc w:val="both"/>
      </w:pPr>
      <w:r>
        <w:rPr>
          <w:rFonts w:ascii="Arial" w:cs="Arial" w:eastAsia="Arial" w:hAnsi="Arial"/>
          <w:sz w:val="24"/>
          <w:szCs w:val="24"/>
        </w:rPr>
        <w:t xml:space="preserve">20. Показатели участия граждан в бюджетном процессе отражают уровень участия граждан в бюджетном процессе, при этом оценка проводится по следующим критериям:</w:t>
      </w:r>
    </w:p>
    <w:p>
      <w:pPr>
        <w:spacing w:after="60"/>
        <w:ind w:firstLine="567"/>
        <w:jc w:val="both"/>
      </w:pPr>
      <w:r>
        <w:rPr>
          <w:rFonts w:ascii="Arial" w:cs="Arial" w:eastAsia="Arial" w:hAnsi="Arial"/>
          <w:sz w:val="24"/>
          <w:szCs w:val="24"/>
        </w:rPr>
        <w:t xml:space="preserve">- используются ли на постоянной основе общественные слушания по проекту местного бюджета (показатель К11 "Общественные слушания");</w:t>
      </w:r>
    </w:p>
    <w:p>
      <w:pPr>
        <w:spacing w:after="60"/>
        <w:ind w:firstLine="567"/>
        <w:jc w:val="both"/>
      </w:pPr>
      <w:r>
        <w:rPr>
          <w:rFonts w:ascii="Arial" w:cs="Arial" w:eastAsia="Arial" w:hAnsi="Arial"/>
          <w:sz w:val="24"/>
          <w:szCs w:val="24"/>
        </w:rPr>
        <w:t xml:space="preserve">- имеются ли другие формы взаимодействия органов МСУ и граждан, отличающиеся от общественных слушаний, но предусматривающие обсуждение и обратную связь (показатель К12 "Взаимодействие органов местного самоуправления и граждан");</w:t>
      </w:r>
    </w:p>
    <w:p>
      <w:pPr>
        <w:spacing w:after="60"/>
        <w:ind w:firstLine="567"/>
        <w:jc w:val="both"/>
      </w:pPr>
      <w:r>
        <w:rPr>
          <w:rFonts w:ascii="Arial" w:cs="Arial" w:eastAsia="Arial" w:hAnsi="Arial"/>
          <w:sz w:val="24"/>
          <w:szCs w:val="24"/>
        </w:rPr>
        <w:t xml:space="preserve">- проводится ли учет приоритетов местного сообщества в программе социально-экономического развития органа МСУ (показатель К13 "Приоритеты местного сообщества в программе социально-экономического развития");</w:t>
      </w:r>
    </w:p>
    <w:p>
      <w:pPr>
        <w:spacing w:after="60"/>
        <w:ind w:firstLine="567"/>
        <w:jc w:val="both"/>
      </w:pPr>
      <w:r>
        <w:rPr>
          <w:rFonts w:ascii="Arial" w:cs="Arial" w:eastAsia="Arial" w:hAnsi="Arial"/>
          <w:sz w:val="24"/>
          <w:szCs w:val="24"/>
        </w:rPr>
        <w:t xml:space="preserve">- созданы ли и осуществляют ли деятельность на регулярной основе инициативные группы, с участием общественных организаций и заинтересованных граждан, по выработке приоритетов и рассмотрению наиболее важных вопросов бюджетной политики (показатель К14 "Наличие и деятельность на регулярной основе инициативных групп по выработке приоритетов бюджетной политики");</w:t>
      </w:r>
    </w:p>
    <w:p>
      <w:pPr>
        <w:spacing w:after="60"/>
        <w:ind w:firstLine="567"/>
        <w:jc w:val="both"/>
      </w:pPr>
      <w:r>
        <w:rPr>
          <w:rFonts w:ascii="Arial" w:cs="Arial" w:eastAsia="Arial" w:hAnsi="Arial"/>
          <w:sz w:val="24"/>
          <w:szCs w:val="24"/>
        </w:rPr>
        <w:t xml:space="preserve">- принимаются ли во внимание органами МСУ при разработке проекта местного бюджета предложения общественности, сделанные в ходе бюджетных слушаний (показатель К15 "Предложения общественности, сделанные в ходе бюджетных слушаний").</w:t>
      </w:r>
    </w:p>
    <w:p>
      <w:pPr>
        <w:spacing w:after="200" w:before="200"/>
        <w:jc w:val="center"/>
      </w:pPr>
      <w:r>
        <w:rPr>
          <w:rFonts w:ascii="Arial" w:cs="Arial" w:eastAsia="Arial" w:hAnsi="Arial"/>
          <w:b/>
          <w:bCs/>
          <w:sz w:val="24"/>
          <w:szCs w:val="24"/>
        </w:rPr>
        <w:t xml:space="preserve">Глава 5. Управление проведением оценки во времени (календарь)</w:t>
      </w:r>
    </w:p>
    <w:p>
      <w:pPr>
        <w:spacing w:after="60"/>
        <w:ind w:firstLine="567"/>
        <w:jc w:val="both"/>
      </w:pPr>
      <w:r>
        <w:rPr>
          <w:rFonts w:ascii="Arial" w:cs="Arial" w:eastAsia="Arial" w:hAnsi="Arial"/>
          <w:sz w:val="24"/>
          <w:szCs w:val="24"/>
        </w:rPr>
        <w:t xml:space="preserve">21. Оценка индекса проводится регулярно: не реже чем 1 раз в квартал. Баллы выставляются поэтапно, в конце года подсчитывается итоговый балл. Большинство индикаторов оценивается один раз в год, за исключением следующих индикаторов оценки:</w:t>
      </w:r>
    </w:p>
    <w:p>
      <w:pPr>
        <w:spacing w:after="60"/>
        <w:ind w:firstLine="567"/>
        <w:jc w:val="both"/>
      </w:pPr>
      <w:r>
        <w:rPr>
          <w:rFonts w:ascii="Arial" w:cs="Arial" w:eastAsia="Arial" w:hAnsi="Arial"/>
          <w:sz w:val="24"/>
          <w:szCs w:val="24"/>
        </w:rPr>
        <w:t xml:space="preserve">- использование других форм взаимодействия органов МСУ и граждан (помимо общественных слушаний), предусматривающих обсуждение и обратную связь (2 раза в год: во II и IV кварталах);</w:t>
      </w:r>
    </w:p>
    <w:p>
      <w:pPr>
        <w:spacing w:after="60"/>
        <w:ind w:firstLine="567"/>
        <w:jc w:val="both"/>
      </w:pPr>
      <w:r>
        <w:rPr>
          <w:rFonts w:ascii="Arial" w:cs="Arial" w:eastAsia="Arial" w:hAnsi="Arial"/>
          <w:sz w:val="24"/>
          <w:szCs w:val="24"/>
        </w:rPr>
        <w:t xml:space="preserve">- регулярная деятельность инициативных групп с участием общественных организаций и заинтересованных граждан по выработке приоритетов и рассмотрению наиболее важных вопросов бюджетной политики (2 раза в год: во II и IV кварталах);</w:t>
      </w:r>
    </w:p>
    <w:p>
      <w:pPr>
        <w:spacing w:after="60"/>
        <w:ind w:firstLine="567"/>
        <w:jc w:val="both"/>
      </w:pPr>
      <w:r>
        <w:rPr>
          <w:rFonts w:ascii="Arial" w:cs="Arial" w:eastAsia="Arial" w:hAnsi="Arial"/>
          <w:sz w:val="24"/>
          <w:szCs w:val="24"/>
        </w:rPr>
        <w:t xml:space="preserve">- утвержденный местный бюджет (в случае если внесены изменения в утвержденный местный бюджет, оценивается уточненный местный бюджет);</w:t>
      </w:r>
    </w:p>
    <w:p>
      <w:pPr>
        <w:spacing w:after="60"/>
        <w:ind w:firstLine="567"/>
        <w:jc w:val="both"/>
      </w:pPr>
      <w:r>
        <w:rPr>
          <w:rFonts w:ascii="Arial" w:cs="Arial" w:eastAsia="Arial" w:hAnsi="Arial"/>
          <w:sz w:val="24"/>
          <w:szCs w:val="24"/>
        </w:rPr>
        <w:t xml:space="preserve">- индикатор "Размещение документов (информации), относящихся к показателям состава и наглядности бюджетных документов, и информации на доске (сайте)" оценивается ежеквартально.</w:t>
      </w:r>
    </w:p>
    <w:p>
      <w:pPr>
        <w:spacing w:after="200" w:before="200"/>
        <w:jc w:val="center"/>
      </w:pPr>
      <w:r>
        <w:rPr>
          <w:rFonts w:ascii="Arial" w:cs="Arial" w:eastAsia="Arial" w:hAnsi="Arial"/>
          <w:b/>
          <w:bCs/>
          <w:sz w:val="24"/>
          <w:szCs w:val="24"/>
        </w:rPr>
        <w:t xml:space="preserve">Глава 6. Значения и порядок расчета показателей оценки бюджетной прозрачности местного бюджета</w:t>
      </w:r>
    </w:p>
    <w:p>
      <w:pPr>
        <w:spacing w:after="60"/>
        <w:ind w:firstLine="567"/>
        <w:jc w:val="both"/>
      </w:pPr>
      <w:r>
        <w:rPr>
          <w:rFonts w:ascii="Arial" w:cs="Arial" w:eastAsia="Arial" w:hAnsi="Arial"/>
          <w:sz w:val="24"/>
          <w:szCs w:val="24"/>
        </w:rPr>
        <w:t xml:space="preserve">22. Оценка бюджетной прозрачности местного бюджета осуществляется согласно таблице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003"/>
        <w:gridCol w:w="3340"/>
        <w:gridCol w:w="1244"/>
        <w:gridCol w:w="1199"/>
        <w:gridCol w:w="1948"/>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индикатора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оценки бюджетной прозрачности местного бюджета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состава и наглядности бюджетной информации</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местный бюджет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 = 10,0 в случае если доходы и расходы местного бюджета (в разрезе функциональной и экономической классификаций) на будущий период подготовлены с использованием инфографики, в противном случае К1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суммы показателей данной группы (К1, К2, К3, К4 и К5) применяется коэффициент К</w:t>
            </w:r>
            <w:r>
              <w:rPr>
                <w:rFonts w:ascii="Arial" w:cs="Arial" w:eastAsia="Arial" w:hAnsi="Arial"/>
                <w:sz w:val="24"/>
                <w:szCs w:val="24"/>
              </w:rPr>
              <w:t xml:space="preserve">д</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Гражданский бюджет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 = 10,0 в случае если документ включает доходы и расходы местного бюджета за 1 год, с инфографикой, в противном случае К2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исполнении местного бюджета</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 = 10,0 в случае если документ включает доходы и расходы местного бюджета за 1 год, с инфографикой, в противном случае К3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Аудиторский отчет Счетной палаты (за последний проверенный год)</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 = 10,0 в случае если отражена полная информация по отчету Счетной палаты КР с приложением отдельно сгруппированных предписаний и рекомендаций в адрес ОМСУ (в случае их наличия), в противном случае К4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социально-экономического развития (или другой стратегический документ)</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К5 = 10,0 в случае если в доступной для граждан форме (с инфографикой) показаны направления программы (изменения программы в случае их принятия), источники финансирования и ожидаемые результаты, в противном случае К5 = 1</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или 1 балл, или 0 баллов</w:t>
            </w:r>
          </w:p>
        </w:tc>
        <w:tc>
          <w:tcPr>
            <w:vMerge w:val="continue"/>
            <w:tcBorders>
              <w:top w:val="none" w:color="auto" w:sz="0"/>
              <w:left w:val="none" w:color="auto" w:sz="0"/>
              <w:bottom w:val="single" w:color="CBBF9E" w:sz="4"/>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доступности бюджетной информации для населения (К</w:t>
            </w:r>
            <w:r>
              <w:rPr>
                <w:rFonts w:ascii="Arial" w:cs="Arial" w:eastAsia="Arial" w:hAnsi="Arial"/>
                <w:b/>
                <w:bCs/>
                <w:sz w:val="24"/>
                <w:szCs w:val="24"/>
              </w:rPr>
              <w:t xml:space="preserve">д</w:t>
            </w:r>
            <w:r>
              <w:rPr>
                <w:rFonts w:ascii="Arial" w:cs="Arial" w:eastAsia="Arial" w:hAnsi="Arial"/>
                <w:b/>
                <w:bCs/>
                <w:sz w:val="24"/>
                <w:szCs w:val="24"/>
              </w:rPr>
              <w:t xml:space="preserve">)</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К6-К10</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доступности бюджетной информации для населения</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д</w:t>
            </w:r>
            <w:r>
              <w:rPr>
                <w:rFonts w:ascii="Arial" w:cs="Arial" w:eastAsia="Arial" w:hAnsi="Arial"/>
                <w:sz w:val="24"/>
                <w:szCs w:val="24"/>
              </w:rPr>
              <w:t xml:space="preserve"> = (ИД + ИП + Т1 + БС + ЭП)/100, где:
 ИД = 15 в случае если имеется информационная доска, посредством которой реализуется принцип прозрачности бюджета, в противном случае ИД = 0
 ИП = 15 в случае если имеется официальный интернет-портал (сайт), в противном случае
 ИП = 0
 Т1 = 40 в случае если на доске (сайте) размещены не менее чем по 4 показателям состава и наглядности бюджетной информации, в случае если размещалась информация не менее чем по 2 показателям, Т1 = 20, в остальных случаях - Т1 = 0.
 БС = 20 в случае если по основным вопросам бюджетных слушаний формируются "ответные" материалы и размещаются на доске (сайте), в других случаях БС = 0.
 ЭП = 10 в случае если использовалась электронная почта для связи с сообществом, в противном случае ЭП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40,0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Больше 4 - 40 баллов, больше 2 - 20 баллов, меньше 2 - 0 баллов</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участия граждан в бюджетном процессе</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К11</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слушания</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 = КП + Ф, где:
 КП = 5,0 в случае если имеется наличие протокола (копия) общественного слушания, в т.ч. внесенные предложения и решения, принятые по нему, в противном случае КП = 0;
 Ф = 5,0 в случае если имеется фотография на доске или распечатка с сайта, в противном случае Ф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суммы показателей данной группы (К11, К12, К13, К14 и К15 применяется коэффициент, равный 1)</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К12</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взаимодействия органов МСУ и граждан</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 = 5,0 в случае если имеется протокол (копия протокола) мероприятия, в т.ч. внесенные предложения и решения, принятые по нему, в противном случае К12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5,0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К13</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Приоритеты местного сообщества в программе социально- экономического развития (бюджете)</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 = КПСЭР + ПМС, где:
 КПСЭР = 5,0 в случае если в программе социально-экономического развития органа местного самоуправления выделены приоритеты, в противном случае КПСЭР = 0;
 ПМС = 0,50 в случае если проводится учет приоритетов местного сообщества в местном бюджете, в противном случае ПМС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К14</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деятельность на регулярной основе инициативных групп по выработке приоритетов</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 = ИГ +ППМ, где:
 ИГ = 5,0, если имеются инициативные группы с участием общественных организаций и заинтересованных граждан по выработке приоритетов и рассмотрению наиболее важных вопросов бюджетной политики, в противном случае
 ИГ = 0;
 ППМ = 5,0 в случае если имеются протоколы проведения мероприятий (не менее одного раза в полугодие), в противном случае ППМ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баллов, 5 баллов или 0 баллов</w:t>
            </w:r>
          </w:p>
        </w:tc>
        <w:tc>
          <w:tcPr>
            <w:vMerge w:val="continue"/>
            <w:tcBorders>
              <w:top w:val="none" w:color="auto" w:sz="0"/>
              <w:left w:val="none" w:color="auto" w:sz="0"/>
              <w:bottom w:val="single" w:color="CBBF9E" w:sz="4"/>
              <w:right w:val="single" w:color="CBBF9E" w:sz="4"/>
            </w:tcBorders>
          </w:tcP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К15</w:t>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общественности, сделанные в ходе бюджетных слушаний</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К15 = 15,0 в случае, если имеется копия отчета органа МСУ о внесенных предложениях в ходе общественных слушаний и решениях, принятых по ним, в противном случае К15 = 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15,0</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баллов или 0 баллов</w:t>
            </w:r>
          </w:p>
        </w:tc>
        <w:tc>
          <w:tcPr>
            <w:vMerge w:val="continue"/>
            <w:tcBorders>
              <w:top w:val="none" w:color="auto" w:sz="0"/>
              <w:left w:val="none" w:color="auto" w:sz="0"/>
              <w:bottom w:val="single" w:color="CBBF9E" w:sz="4"/>
              <w:right w:val="single" w:color="CBBF9E" w:sz="4"/>
            </w:tcBorders>
          </w:tcP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23. В процессе оценки выставляется объективная отметка и представляются соответствующие документы, ссылки, подтверждающие ее выставление. В качестве верификации по каждому критерию должно быть не менее одного подтверждающего документа.</w:t>
      </w:r>
    </w:p>
    <w:p>
      <w:pPr>
        <w:spacing w:after="200" w:before="200"/>
        <w:jc w:val="center"/>
      </w:pPr>
      <w:r>
        <w:rPr>
          <w:rFonts w:ascii="Arial" w:cs="Arial" w:eastAsia="Arial" w:hAnsi="Arial"/>
          <w:b/>
          <w:bCs/>
          <w:sz w:val="24"/>
          <w:szCs w:val="24"/>
        </w:rPr>
        <w:t xml:space="preserve">Глава 7. Применение результатов оценки показателей бюджетной прозрачности органов МСУ</w:t>
      </w:r>
    </w:p>
    <w:p>
      <w:pPr>
        <w:spacing w:after="60"/>
        <w:ind w:firstLine="567"/>
        <w:jc w:val="both"/>
      </w:pPr>
      <w:r>
        <w:rPr>
          <w:rFonts w:ascii="Arial" w:cs="Arial" w:eastAsia="Arial" w:hAnsi="Arial"/>
          <w:sz w:val="24"/>
          <w:szCs w:val="24"/>
        </w:rPr>
        <w:t xml:space="preserve">24. По результатам оценки, в зависимости от набранных баллов, органы МСУ распределяются по трем группам:</w:t>
      </w:r>
    </w:p>
    <w:p>
      <w:pPr>
        <w:spacing w:after="60"/>
        <w:ind w:firstLine="567"/>
        <w:jc w:val="both"/>
      </w:pPr>
      <w:r>
        <w:rPr>
          <w:rFonts w:ascii="Arial" w:cs="Arial" w:eastAsia="Arial" w:hAnsi="Arial"/>
          <w:sz w:val="24"/>
          <w:szCs w:val="24"/>
        </w:rPr>
        <w:t xml:space="preserve">1) высокий индекс - суммарное количество баллов более 60:</w:t>
      </w:r>
    </w:p>
    <w:p>
      <w:pPr>
        <w:spacing w:after="60"/>
        <w:ind w:firstLine="567"/>
        <w:jc w:val="both"/>
      </w:pPr>
      <w:r>
        <w:rPr>
          <w:rFonts w:ascii="Arial" w:cs="Arial" w:eastAsia="Arial" w:hAnsi="Arial"/>
          <w:sz w:val="24"/>
          <w:szCs w:val="24"/>
        </w:rPr>
        <w:t xml:space="preserve">а) участие граждан в бюджетном процессе на высоком уровне:</w:t>
      </w:r>
    </w:p>
    <w:p>
      <w:pPr>
        <w:spacing w:after="60"/>
        <w:ind w:firstLine="567"/>
        <w:jc w:val="both"/>
      </w:pPr>
      <w:r>
        <w:rPr>
          <w:rFonts w:ascii="Arial" w:cs="Arial" w:eastAsia="Arial" w:hAnsi="Arial"/>
          <w:sz w:val="24"/>
          <w:szCs w:val="24"/>
        </w:rPr>
        <w:t xml:space="preserve">- граждане активно участвуют в бюджетном процессе;</w:t>
      </w:r>
    </w:p>
    <w:p>
      <w:pPr>
        <w:spacing w:after="60"/>
        <w:ind w:firstLine="567"/>
        <w:jc w:val="both"/>
      </w:pPr>
      <w:r>
        <w:rPr>
          <w:rFonts w:ascii="Arial" w:cs="Arial" w:eastAsia="Arial" w:hAnsi="Arial"/>
          <w:sz w:val="24"/>
          <w:szCs w:val="24"/>
        </w:rPr>
        <w:t xml:space="preserve">- учет приоритетов местного сообщества;</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высоком уровне:</w:t>
      </w:r>
    </w:p>
    <w:p>
      <w:pPr>
        <w:spacing w:after="60"/>
        <w:ind w:firstLine="567"/>
        <w:jc w:val="both"/>
      </w:pPr>
      <w:r>
        <w:rPr>
          <w:rFonts w:ascii="Arial" w:cs="Arial" w:eastAsia="Arial" w:hAnsi="Arial"/>
          <w:sz w:val="24"/>
          <w:szCs w:val="24"/>
        </w:rPr>
        <w:t xml:space="preserve">- большой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качественный гражданский бюджет;</w:t>
      </w:r>
    </w:p>
    <w:p>
      <w:pPr>
        <w:spacing w:after="60"/>
        <w:ind w:firstLine="567"/>
        <w:jc w:val="both"/>
      </w:pPr>
      <w:r>
        <w:rPr>
          <w:rFonts w:ascii="Arial" w:cs="Arial" w:eastAsia="Arial" w:hAnsi="Arial"/>
          <w:sz w:val="24"/>
          <w:szCs w:val="24"/>
        </w:rPr>
        <w:t xml:space="preserve">- качественное и своевременное исполнение местного бюджета по доходам и расходам;</w:t>
      </w:r>
    </w:p>
    <w:p>
      <w:pPr>
        <w:spacing w:after="60"/>
        <w:ind w:firstLine="567"/>
        <w:jc w:val="both"/>
      </w:pPr>
      <w:r>
        <w:rPr>
          <w:rFonts w:ascii="Arial" w:cs="Arial" w:eastAsia="Arial" w:hAnsi="Arial"/>
          <w:sz w:val="24"/>
          <w:szCs w:val="24"/>
        </w:rPr>
        <w:t xml:space="preserve">- высокоэффективное управление финансами;</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доступна и качественно представлена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высоком уровне:</w:t>
      </w:r>
    </w:p>
    <w:p>
      <w:pPr>
        <w:spacing w:after="60"/>
        <w:ind w:firstLine="567"/>
        <w:jc w:val="both"/>
      </w:pPr>
      <w:r>
        <w:rPr>
          <w:rFonts w:ascii="Arial" w:cs="Arial" w:eastAsia="Arial" w:hAnsi="Arial"/>
          <w:sz w:val="24"/>
          <w:szCs w:val="24"/>
        </w:rPr>
        <w:t xml:space="preserve">- высокая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активно поддерживают связь с органами МСУ в бюджетном процессе;</w:t>
      </w:r>
    </w:p>
    <w:p>
      <w:pPr>
        <w:spacing w:after="60"/>
        <w:ind w:firstLine="567"/>
        <w:jc w:val="both"/>
      </w:pPr>
      <w:r>
        <w:rPr>
          <w:rFonts w:ascii="Arial" w:cs="Arial" w:eastAsia="Arial" w:hAnsi="Arial"/>
          <w:sz w:val="24"/>
          <w:szCs w:val="24"/>
        </w:rPr>
        <w:t xml:space="preserve">2) средний индекс - суммарное количество баллов больше 20, но меньше 60 баллов:</w:t>
      </w:r>
    </w:p>
    <w:p>
      <w:pPr>
        <w:spacing w:after="60"/>
        <w:ind w:firstLine="567"/>
        <w:jc w:val="both"/>
      </w:pPr>
      <w:r>
        <w:rPr>
          <w:rFonts w:ascii="Arial" w:cs="Arial" w:eastAsia="Arial" w:hAnsi="Arial"/>
          <w:sz w:val="24"/>
          <w:szCs w:val="24"/>
        </w:rPr>
        <w:t xml:space="preserve">а) участие граждан в бюджетном процессе на удовлетворительном уровне:</w:t>
      </w:r>
    </w:p>
    <w:p>
      <w:pPr>
        <w:spacing w:after="60"/>
        <w:ind w:firstLine="567"/>
        <w:jc w:val="both"/>
      </w:pPr>
      <w:r>
        <w:rPr>
          <w:rFonts w:ascii="Arial" w:cs="Arial" w:eastAsia="Arial" w:hAnsi="Arial"/>
          <w:sz w:val="24"/>
          <w:szCs w:val="24"/>
        </w:rPr>
        <w:t xml:space="preserve">- граждане участвуют в бюджетном процессе;</w:t>
      </w:r>
    </w:p>
    <w:p>
      <w:pPr>
        <w:spacing w:after="60"/>
        <w:ind w:firstLine="567"/>
        <w:jc w:val="both"/>
      </w:pPr>
      <w:r>
        <w:rPr>
          <w:rFonts w:ascii="Arial" w:cs="Arial" w:eastAsia="Arial" w:hAnsi="Arial"/>
          <w:sz w:val="24"/>
          <w:szCs w:val="24"/>
        </w:rPr>
        <w:t xml:space="preserve">- приоритеты местного сообщества выявляются;</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среднем уровне:</w:t>
      </w:r>
    </w:p>
    <w:p>
      <w:pPr>
        <w:spacing w:after="60"/>
        <w:ind w:firstLine="567"/>
        <w:jc w:val="both"/>
      </w:pPr>
      <w:r>
        <w:rPr>
          <w:rFonts w:ascii="Arial" w:cs="Arial" w:eastAsia="Arial" w:hAnsi="Arial"/>
          <w:sz w:val="24"/>
          <w:szCs w:val="24"/>
        </w:rPr>
        <w:t xml:space="preserve">- средний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гражданский бюджет на среднем уровне;</w:t>
      </w:r>
    </w:p>
    <w:p>
      <w:pPr>
        <w:spacing w:after="60"/>
        <w:ind w:firstLine="567"/>
        <w:jc w:val="both"/>
      </w:pPr>
      <w:r>
        <w:rPr>
          <w:rFonts w:ascii="Arial" w:cs="Arial" w:eastAsia="Arial" w:hAnsi="Arial"/>
          <w:sz w:val="24"/>
          <w:szCs w:val="24"/>
        </w:rPr>
        <w:t xml:space="preserve">- исполнение бюджета по доходам и расходам на среднем уровне;</w:t>
      </w:r>
    </w:p>
    <w:p>
      <w:pPr>
        <w:spacing w:after="60"/>
        <w:ind w:firstLine="567"/>
        <w:jc w:val="both"/>
      </w:pPr>
      <w:r>
        <w:rPr>
          <w:rFonts w:ascii="Arial" w:cs="Arial" w:eastAsia="Arial" w:hAnsi="Arial"/>
          <w:sz w:val="24"/>
          <w:szCs w:val="24"/>
        </w:rPr>
        <w:t xml:space="preserve">- управление финансами на среднем уровне;</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представлена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среднем уровне:</w:t>
      </w:r>
    </w:p>
    <w:p>
      <w:pPr>
        <w:spacing w:after="60"/>
        <w:ind w:firstLine="567"/>
        <w:jc w:val="both"/>
      </w:pPr>
      <w:r>
        <w:rPr>
          <w:rFonts w:ascii="Arial" w:cs="Arial" w:eastAsia="Arial" w:hAnsi="Arial"/>
          <w:sz w:val="24"/>
          <w:szCs w:val="24"/>
        </w:rPr>
        <w:t xml:space="preserve">- средняя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более или менее участвуют в бюджетном процессе;</w:t>
      </w:r>
    </w:p>
    <w:p>
      <w:pPr>
        <w:spacing w:after="60"/>
        <w:ind w:firstLine="567"/>
        <w:jc w:val="both"/>
      </w:pPr>
      <w:r>
        <w:rPr>
          <w:rFonts w:ascii="Arial" w:cs="Arial" w:eastAsia="Arial" w:hAnsi="Arial"/>
          <w:sz w:val="24"/>
          <w:szCs w:val="24"/>
        </w:rPr>
        <w:t xml:space="preserve">3) низкий индекс - суммарное количество баллов менее 20 баллов:</w:t>
      </w:r>
    </w:p>
    <w:p>
      <w:pPr>
        <w:spacing w:after="60"/>
        <w:ind w:firstLine="567"/>
        <w:jc w:val="both"/>
      </w:pPr>
      <w:r>
        <w:rPr>
          <w:rFonts w:ascii="Arial" w:cs="Arial" w:eastAsia="Arial" w:hAnsi="Arial"/>
          <w:sz w:val="24"/>
          <w:szCs w:val="24"/>
        </w:rPr>
        <w:t xml:space="preserve">а) участие граждан в бюджетном процессе на неудовлетворительном уровне:</w:t>
      </w:r>
    </w:p>
    <w:p>
      <w:pPr>
        <w:spacing w:after="60"/>
        <w:ind w:firstLine="567"/>
        <w:jc w:val="both"/>
      </w:pPr>
      <w:r>
        <w:rPr>
          <w:rFonts w:ascii="Arial" w:cs="Arial" w:eastAsia="Arial" w:hAnsi="Arial"/>
          <w:sz w:val="24"/>
          <w:szCs w:val="24"/>
        </w:rPr>
        <w:t xml:space="preserve">- граждане не вовлекаются в бюджетный процесс;</w:t>
      </w:r>
    </w:p>
    <w:p>
      <w:pPr>
        <w:spacing w:after="60"/>
        <w:ind w:firstLine="567"/>
        <w:jc w:val="both"/>
      </w:pPr>
      <w:r>
        <w:rPr>
          <w:rFonts w:ascii="Arial" w:cs="Arial" w:eastAsia="Arial" w:hAnsi="Arial"/>
          <w:sz w:val="24"/>
          <w:szCs w:val="24"/>
        </w:rPr>
        <w:t xml:space="preserve">- приоритеты местного сообщества не выявляются;</w:t>
      </w:r>
    </w:p>
    <w:p>
      <w:pPr>
        <w:spacing w:after="60"/>
        <w:ind w:firstLine="567"/>
        <w:jc w:val="both"/>
      </w:pPr>
      <w:r>
        <w:rPr>
          <w:rFonts w:ascii="Arial" w:cs="Arial" w:eastAsia="Arial" w:hAnsi="Arial"/>
          <w:sz w:val="24"/>
          <w:szCs w:val="24"/>
        </w:rPr>
        <w:t xml:space="preserve">б) показатели состава и наглядности бюджетной информации на неудовлетворительном уровне:</w:t>
      </w:r>
    </w:p>
    <w:p>
      <w:pPr>
        <w:spacing w:after="60"/>
        <w:ind w:firstLine="567"/>
        <w:jc w:val="both"/>
      </w:pPr>
      <w:r>
        <w:rPr>
          <w:rFonts w:ascii="Arial" w:cs="Arial" w:eastAsia="Arial" w:hAnsi="Arial"/>
          <w:sz w:val="24"/>
          <w:szCs w:val="24"/>
        </w:rPr>
        <w:t xml:space="preserve">- низкий объем информации по бюджету с использованием инфографики;</w:t>
      </w:r>
    </w:p>
    <w:p>
      <w:pPr>
        <w:spacing w:after="60"/>
        <w:ind w:firstLine="567"/>
        <w:jc w:val="both"/>
      </w:pPr>
      <w:r>
        <w:rPr>
          <w:rFonts w:ascii="Arial" w:cs="Arial" w:eastAsia="Arial" w:hAnsi="Arial"/>
          <w:sz w:val="24"/>
          <w:szCs w:val="24"/>
        </w:rPr>
        <w:t xml:space="preserve">- гражданский бюджет на низком уровне;</w:t>
      </w:r>
    </w:p>
    <w:p>
      <w:pPr>
        <w:spacing w:after="60"/>
        <w:ind w:firstLine="567"/>
        <w:jc w:val="both"/>
      </w:pPr>
      <w:r>
        <w:rPr>
          <w:rFonts w:ascii="Arial" w:cs="Arial" w:eastAsia="Arial" w:hAnsi="Arial"/>
          <w:sz w:val="24"/>
          <w:szCs w:val="24"/>
        </w:rPr>
        <w:t xml:space="preserve">- исполнение местного бюджета по доходам и расходам на низком уровне;</w:t>
      </w:r>
    </w:p>
    <w:p>
      <w:pPr>
        <w:spacing w:after="60"/>
        <w:ind w:firstLine="567"/>
        <w:jc w:val="both"/>
      </w:pPr>
      <w:r>
        <w:rPr>
          <w:rFonts w:ascii="Arial" w:cs="Arial" w:eastAsia="Arial" w:hAnsi="Arial"/>
          <w:sz w:val="24"/>
          <w:szCs w:val="24"/>
        </w:rPr>
        <w:t xml:space="preserve">- управление финансами на низком уровне;</w:t>
      </w:r>
    </w:p>
    <w:p>
      <w:pPr>
        <w:spacing w:after="60"/>
        <w:ind w:firstLine="567"/>
        <w:jc w:val="both"/>
      </w:pPr>
      <w:r>
        <w:rPr>
          <w:rFonts w:ascii="Arial" w:cs="Arial" w:eastAsia="Arial" w:hAnsi="Arial"/>
          <w:sz w:val="24"/>
          <w:szCs w:val="24"/>
        </w:rPr>
        <w:t xml:space="preserve">- наличие определенных финансовых нарушений;</w:t>
      </w:r>
    </w:p>
    <w:p>
      <w:pPr>
        <w:spacing w:after="60"/>
        <w:ind w:firstLine="567"/>
        <w:jc w:val="both"/>
      </w:pPr>
      <w:r>
        <w:rPr>
          <w:rFonts w:ascii="Arial" w:cs="Arial" w:eastAsia="Arial" w:hAnsi="Arial"/>
          <w:sz w:val="24"/>
          <w:szCs w:val="24"/>
        </w:rPr>
        <w:t xml:space="preserve">- программа социально-экономического развития (или другой стратегический документ) не представлена должным образом для граждан;</w:t>
      </w:r>
    </w:p>
    <w:p>
      <w:pPr>
        <w:spacing w:after="60"/>
        <w:ind w:firstLine="567"/>
        <w:jc w:val="both"/>
      </w:pPr>
      <w:r>
        <w:rPr>
          <w:rFonts w:ascii="Arial" w:cs="Arial" w:eastAsia="Arial" w:hAnsi="Arial"/>
          <w:sz w:val="24"/>
          <w:szCs w:val="24"/>
        </w:rPr>
        <w:t xml:space="preserve">в) показатели прозрачности бюджетного процесса обеспечиваются на неудовлетворительном уровне:</w:t>
      </w:r>
    </w:p>
    <w:p>
      <w:pPr>
        <w:spacing w:after="60"/>
        <w:ind w:firstLine="567"/>
        <w:jc w:val="both"/>
      </w:pPr>
      <w:r>
        <w:rPr>
          <w:rFonts w:ascii="Arial" w:cs="Arial" w:eastAsia="Arial" w:hAnsi="Arial"/>
          <w:sz w:val="24"/>
          <w:szCs w:val="24"/>
        </w:rPr>
        <w:t xml:space="preserve">- информация не предоставляется или предоставляется крайне скудная информация; средняя доступность бюджетной информации для населения;</w:t>
      </w:r>
    </w:p>
    <w:p>
      <w:pPr>
        <w:spacing w:after="60"/>
        <w:ind w:firstLine="567"/>
        <w:jc w:val="both"/>
      </w:pPr>
      <w:r>
        <w:rPr>
          <w:rFonts w:ascii="Arial" w:cs="Arial" w:eastAsia="Arial" w:hAnsi="Arial"/>
          <w:sz w:val="24"/>
          <w:szCs w:val="24"/>
        </w:rPr>
        <w:t xml:space="preserve">- граждане не вовлечены в бюджетный процесс.</w:t>
      </w:r>
    </w:p>
    <w:p>
      <w:pPr>
        <w:spacing w:after="60"/>
        <w:ind w:firstLine="567"/>
        <w:jc w:val="both"/>
      </w:pPr>
      <w:r>
        <w:rPr>
          <w:rFonts w:ascii="Arial" w:cs="Arial" w:eastAsia="Arial" w:hAnsi="Arial"/>
          <w:sz w:val="24"/>
          <w:szCs w:val="24"/>
        </w:rPr>
        <w:t xml:space="preserve">25. Наивысший общий балл, который по итогам оценки может получить орган МСУ, составляет 100 баллов.</w:t>
      </w:r>
    </w:p>
    <w:p>
      <w:pPr>
        <w:spacing w:after="60"/>
        <w:ind w:firstLine="567"/>
        <w:jc w:val="both"/>
      </w:pPr>
      <w:r>
        <w:rPr>
          <w:rFonts w:ascii="Arial" w:cs="Arial" w:eastAsia="Arial" w:hAnsi="Arial"/>
          <w:sz w:val="24"/>
          <w:szCs w:val="24"/>
        </w:rPr>
        <w:t xml:space="preserve">26. Итоги оценки бюджетной прозрачности органов МСУ выводятся согласно фактическим значениям показателей, оценкам, полученным по каждому из показателей, итоговым оценкам в целом по органам МСУ и отнесению к определенной группе в форме согласно таблице 2.</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Таблица результатов оценки показателей бюджетной прозрачности органа МСУ</w:t>
      </w:r>
    </w:p>
    <w:p>
      <w:pPr>
        <w:spacing w:after="120" w:before="120"/>
        <w:jc w:val="lef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Форма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8"/>
        <w:gridCol w:w="1199"/>
        <w:gridCol w:w="1199"/>
        <w:gridCol w:w="1199"/>
        <w:gridCol w:w="1199"/>
        <w:gridCol w:w="1199"/>
        <w:gridCol w:w="1199"/>
        <w:gridCol w:w="981"/>
        <w:gridCol w:w="755"/>
      </w:tblGrid>
      <w:tr>
        <w:tc>
          <w:tcPr>
            <w:tcW w:type="dxa" w:w="1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1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показателей</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оценка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Рейтинг</w:t>
            </w:r>
          </w:p>
        </w:tc>
      </w:tr>
      <w:tr>
        <w:tc>
          <w:tcPr>
            <w:vMerge w:val="continue"/>
            <w:tcBorders>
              <w:top w:val="single" w:color="CBBF9E" w:sz="4"/>
              <w:left w:val="single" w:color="CBBF9E" w:sz="4"/>
              <w:bottom w:val="single" w:color="CBBF9E" w:sz="4"/>
              <w:right w:val="single" w:color="CBBF9E" w:sz="4"/>
            </w:tcBorders>
          </w:tcP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К1</w:t>
            </w: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К2</w:t>
            </w:r>
          </w:p>
        </w:tc>
        <w:tc>
          <w:tcPr>
            <w:tcW w:type="dxa" w:w="23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Возможный балл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МСУ 1</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Высокий</w:t>
            </w: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МСУ 2</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Низкий</w:t>
            </w:r>
          </w:p>
        </w:tc>
      </w:tr>
      <w:tr>
        <w:tc>
          <w:tcPr>
            <w:tcW w:type="dxa" w:w="12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27. Результаты общественной оценки муниципального индекса бюджетной прозрачности принимаются во внимание исполнительными органами МСУ для обеспечения роста прозрачности местных бюджетов. Органы МСУ размещают результаты индекса и планы по обеспечению его роста на общественных бюджетных слушаниях и других публичных мероприятиях.</w:t>
      </w:r>
    </w:p>
    <w:p>
      <w:pPr>
        <w:spacing w:after="60"/>
        <w:ind w:firstLine="567"/>
        <w:jc w:val="both"/>
      </w:pPr>
      <w:r>
        <w:rPr>
          <w:rFonts w:ascii="Arial" w:cs="Arial" w:eastAsia="Arial" w:hAnsi="Arial"/>
          <w:sz w:val="24"/>
          <w:szCs w:val="24"/>
        </w:rPr>
        <w:t xml:space="preserve">28. Результаты оценки бюджетной прозрачности органов МСУ размещаются на официальном интернет-сайте органа МСУ и могут быть использованы при определении общего рейтинга органа МСУ по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z69sgsa6zyrpgehoouy">
      <w:r>
        <w:rPr>
          <w:rFonts w:ascii="Arial" w:cs="Arial" w:eastAsia="Arial" w:hAnsi="Arial"/>
          <w:color w:val="132D3F"/>
          <w:sz w:val="16"/>
          <w:szCs w:val="16"/>
          <w:u w:val="single"/>
        </w:rPr>
        <w:t xml:space="preserve">dalil.kg/document/157069</w:t>
      </w:r>
    </w:hyperlink>
  </w:p>
  <w:p>
    <w:pPr>
      <w:spacing w:after="0" w:before="40"/>
      <w:jc w:val="center"/>
    </w:pPr>
    <w:hyperlink w:history="1" r:id="rIdypclsbmaafuahlf_bak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80fkeada2vmewbwbf-ml" Type="http://schemas.openxmlformats.org/officeDocument/2006/relationships/hyperlink" Target="https://dalil.kg/document/1570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z69sgsa6zyrpgehoouy" Type="http://schemas.openxmlformats.org/officeDocument/2006/relationships/hyperlink" Target="https://dalil.kg/document/157069" TargetMode="External"/><Relationship Id="rIdypclsbmaafuahlf_bak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2026-10-01T13:45:17.097Z</dcterms:created>
  <dcterms:modified xsi:type="dcterms:W3CDTF">2026-10-01T13:45:17.097Z</dcterms:modified>
</cp:coreProperties>
</file>

<file path=docProps/custom.xml><?xml version="1.0" encoding="utf-8"?>
<Properties xmlns="http://schemas.openxmlformats.org/officeDocument/2006/custom-properties" xmlns:vt="http://schemas.openxmlformats.org/officeDocument/2006/docPropsVTypes"/>
</file>