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2019 года № 494</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mkciaihsap3zezirek-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fkuvcy7ztb5xkp8h_ovy0">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23 сентября 2019 года № 494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по вопросам администрирования сбора страховых взносов"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n8l0or6ahva5ybfvoztx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по вопросам администрирования сбора страховых взносов" (далее - проект Закона), инициированный депутатами Жогорку Кенеша Кыргызской Республики Асылбаевой Г.К., Тулендыбаевым П.Р., Макеевым Н.К., Гайпкуловым И.Т., Арапбаевым А.А., Примовым У.Б., Сыдыковым Б.У., Жамалдиновым З.И., Абжалиевым А.Т., Мамашовой А.Т., Бекешевым Д.Д., Исаевой Д.Ш., приходит к следующему заключению.</w:t>
      </w:r>
    </w:p>
    <w:p>
      <w:pPr>
        <w:spacing w:after="60"/>
        <w:ind w:firstLine="567"/>
        <w:jc w:val="both"/>
      </w:pPr>
      <w:r>
        <w:rPr>
          <w:rFonts w:ascii="Arial" w:cs="Arial" w:eastAsia="Arial" w:hAnsi="Arial"/>
          <w:sz w:val="24"/>
          <w:szCs w:val="24"/>
        </w:rPr>
        <w:t xml:space="preserve">Следует отметить, что ранее на вышеуказанный проект Закона было дано официальное заключение Правительства Кыргызской Республики, одобренное </w:t>
      </w:r>
      <w:hyperlink w:history="1" r:id="rIdt8sqxvq8vf4waqy38iw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649.</w:t>
      </w:r>
    </w:p>
    <w:p>
      <w:pPr>
        <w:spacing w:after="60"/>
        <w:ind w:firstLine="567"/>
        <w:jc w:val="both"/>
      </w:pPr>
      <w:r>
        <w:rPr>
          <w:rFonts w:ascii="Arial" w:cs="Arial" w:eastAsia="Arial" w:hAnsi="Arial"/>
          <w:sz w:val="24"/>
          <w:szCs w:val="24"/>
        </w:rPr>
        <w:t xml:space="preserve">При этом отмечаем, что представленный проект Закона доработан с учетом замечаний и предложений, изложенных в вышеуказанном заключении Правительства Кыргызской Республики, за исключением его отдельных предложений.</w:t>
      </w:r>
    </w:p>
    <w:p>
      <w:pPr>
        <w:spacing w:after="60"/>
        <w:ind w:firstLine="567"/>
        <w:jc w:val="both"/>
      </w:pPr>
      <w:r>
        <w:rPr>
          <w:rFonts w:ascii="Arial" w:cs="Arial" w:eastAsia="Arial" w:hAnsi="Arial"/>
          <w:sz w:val="24"/>
          <w:szCs w:val="24"/>
        </w:rPr>
        <w:t xml:space="preserve">В связи с этим предлагаем обратить внимание на следующее.</w:t>
      </w:r>
    </w:p>
    <w:p>
      <w:pPr>
        <w:spacing w:after="60"/>
        <w:ind w:firstLine="567"/>
        <w:jc w:val="both"/>
      </w:pPr>
      <w:r>
        <w:rPr>
          <w:rFonts w:ascii="Arial" w:cs="Arial" w:eastAsia="Arial" w:hAnsi="Arial"/>
          <w:sz w:val="24"/>
          <w:szCs w:val="24"/>
        </w:rPr>
        <w:t xml:space="preserve">1. Учитывая положения пункта 9 </w:t>
      </w:r>
      <w:hyperlink w:history="1" r:id="rIdx1kizak_hnhduxee3kj3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msbj_aoytcfdfi0ssif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(далее - Инструкция), наименование проекта Закона после слов "законодательные акты" предлагаем дополнить словами "Кыргызской Республики".</w:t>
      </w:r>
    </w:p>
    <w:p>
      <w:pPr>
        <w:spacing w:after="60"/>
        <w:ind w:firstLine="567"/>
        <w:jc w:val="both"/>
      </w:pPr>
      <w:r>
        <w:rPr>
          <w:rFonts w:ascii="Arial" w:cs="Arial" w:eastAsia="Arial" w:hAnsi="Arial"/>
          <w:sz w:val="24"/>
          <w:szCs w:val="24"/>
        </w:rPr>
        <w:t xml:space="preserve">2. Пункт 3 части 6, часть 10 и пункт 2 части 11 статьи 1 проекта Закона предлагаем доработать в соответствии с требованиями пункта 105 </w:t>
      </w:r>
      <w:hyperlink w:history="1" r:id="rIdrz75l1kzc_4cb8lrz_6f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Отмечаем, что часть 12 статьи 1 проекта Закона дублирует абзац десятый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gckbxyz2twfvkmtln8fg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связи с чем предлагаем ее исключить.</w:t>
      </w:r>
    </w:p>
    <w:p>
      <w:pPr>
        <w:spacing w:after="60"/>
        <w:ind w:firstLine="567"/>
        <w:jc w:val="both"/>
      </w:pPr>
      <w:r>
        <w:rPr>
          <w:rFonts w:ascii="Arial" w:cs="Arial" w:eastAsia="Arial" w:hAnsi="Arial"/>
          <w:sz w:val="24"/>
          <w:szCs w:val="24"/>
        </w:rPr>
        <w:t xml:space="preserve">4. Частью 2 статьи 6 проекта Закона предлагается пункт 5 части 1 </w:t>
      </w:r>
      <w:r>
        <w:rPr>
          <w:rFonts w:ascii="Arial" w:cs="Arial" w:eastAsia="Arial" w:hAnsi="Arial"/>
          <w:sz w:val="24"/>
          <w:szCs w:val="24"/>
        </w:rPr>
        <w:t xml:space="preserve">статьи 76</w:t>
      </w:r>
      <w:r>
        <w:rPr>
          <w:rFonts w:ascii="Arial" w:cs="Arial" w:eastAsia="Arial" w:hAnsi="Arial"/>
          <w:sz w:val="24"/>
          <w:szCs w:val="24"/>
        </w:rPr>
        <w:t xml:space="preserve"> Бюджетного </w:t>
      </w:r>
      <w:hyperlink w:history="1" r:id="rIdkzhwlamxn5__5ehtd8xp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изложить в новой редакции, согласно которой "Социальный фонд в области регулирования бюджетных правоотношений осуществляет учет поступления страховых взносов и контроль за правильным расходованием средств государственного социального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Однако необходимо отметить,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e_uxvokx4ddahnve7mw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Также, отмечаем, что согласно пункту 78 </w:t>
      </w:r>
      <w:hyperlink w:history="1" r:id="rIdgpt68o_8cpjzunldgoxs0">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связи с этим в части 2 статьи 6 проекта Закона необходимо проанализировать нормативные правовые акты, на которые делается ссылка в проекте Закона, с указанием отрасли или сферы регулирования законодательства.</w:t>
      </w:r>
    </w:p>
    <w:p>
      <w:pPr>
        <w:spacing w:after="60"/>
        <w:ind w:firstLine="567"/>
        <w:jc w:val="both"/>
      </w:pPr>
      <w:r>
        <w:rPr>
          <w:rFonts w:ascii="Arial" w:cs="Arial" w:eastAsia="Arial" w:hAnsi="Arial"/>
          <w:sz w:val="24"/>
          <w:szCs w:val="24"/>
        </w:rPr>
        <w:t xml:space="preserve">5. Абзацем вторым статьи 7 проекта Закона Правительству Кыргызской Республики дается поручение в шестимесячный срок привести свои нормативные правовые акты в соответствие с рассматриваемым проектом Закона.</w:t>
      </w:r>
    </w:p>
    <w:p>
      <w:pPr>
        <w:spacing w:after="60"/>
        <w:ind w:firstLine="567"/>
        <w:jc w:val="both"/>
      </w:pPr>
      <w:r>
        <w:rPr>
          <w:rFonts w:ascii="Arial" w:cs="Arial" w:eastAsia="Arial" w:hAnsi="Arial"/>
          <w:sz w:val="24"/>
          <w:szCs w:val="24"/>
        </w:rPr>
        <w:t xml:space="preserve">Между тем отмечаем, что согласно </w:t>
      </w:r>
      <w:r>
        <w:rPr>
          <w:rFonts w:ascii="Arial" w:cs="Arial" w:eastAsia="Arial" w:hAnsi="Arial"/>
          <w:sz w:val="24"/>
          <w:szCs w:val="24"/>
        </w:rPr>
        <w:t xml:space="preserve">статье 24</w:t>
      </w:r>
      <w:r>
        <w:rPr>
          <w:rFonts w:ascii="Arial" w:cs="Arial" w:eastAsia="Arial" w:hAnsi="Arial"/>
          <w:sz w:val="24"/>
          <w:szCs w:val="24"/>
        </w:rPr>
        <w:t xml:space="preserve"> </w:t>
      </w:r>
      <w:hyperlink w:history="1" r:id="rIdccl0jqtsjkg700yklyl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принятие указанного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y4rxzmnn0umyyobwtfc">
      <w:r>
        <w:rPr>
          <w:rFonts w:ascii="Arial" w:cs="Arial" w:eastAsia="Arial" w:hAnsi="Arial"/>
          <w:color w:val="132D3F"/>
          <w:sz w:val="16"/>
          <w:szCs w:val="16"/>
          <w:u w:val="single"/>
        </w:rPr>
        <w:t xml:space="preserve">dalil.kg/document/157092</w:t>
      </w:r>
    </w:hyperlink>
  </w:p>
  <w:p>
    <w:pPr>
      <w:spacing w:after="0" w:before="40"/>
      <w:jc w:val="center"/>
    </w:pPr>
    <w:hyperlink w:history="1" r:id="rId97c3dtpjti28ckouks6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kciaihsap3zezirek-e" Type="http://schemas.openxmlformats.org/officeDocument/2006/relationships/hyperlink" Target="https://dalil.kg/document/203685" TargetMode="External"/><Relationship Id="rIdfkuvcy7ztb5xkp8h_ovy0" Type="http://schemas.openxmlformats.org/officeDocument/2006/relationships/hyperlink" Target="https://dalil.kg/document/157092#p1" TargetMode="External"/><Relationship Id="rIdn8l0or6ahva5ybfvoztx6" Type="http://schemas.openxmlformats.org/officeDocument/2006/relationships/hyperlink" Target="https://dalil.kg/document/203685" TargetMode="External"/><Relationship Id="rIdt8sqxvq8vf4waqy38iwbh" Type="http://schemas.openxmlformats.org/officeDocument/2006/relationships/hyperlink" Target="https://dalil.kg/document/12864" TargetMode="External"/><Relationship Id="rIdx1kizak_hnhduxee3kj32" Type="http://schemas.openxmlformats.org/officeDocument/2006/relationships/hyperlink" Target="https://dalil.kg/document/76491" TargetMode="External"/><Relationship Id="rIdmsbj_aoytcfdfi0ssifnw" Type="http://schemas.openxmlformats.org/officeDocument/2006/relationships/hyperlink" Target="https://dalil.kg/document/76490" TargetMode="External"/><Relationship Id="rIdrz75l1kzc_4cb8lrz_6fv" Type="http://schemas.openxmlformats.org/officeDocument/2006/relationships/hyperlink" Target="https://dalil.kg/document/76491" TargetMode="External"/><Relationship Id="rIdgckbxyz2twfvkmtln8fgc" Type="http://schemas.openxmlformats.org/officeDocument/2006/relationships/hyperlink" Target="https://dalil.kg/document/627" TargetMode="External"/><Relationship Id="rIdkzhwlamxn5__5ehtd8xpl" Type="http://schemas.openxmlformats.org/officeDocument/2006/relationships/hyperlink" Target="https://dalil.kg/document/111338" TargetMode="External"/><Relationship Id="rIde_uxvokx4ddahnve7mwbg" Type="http://schemas.openxmlformats.org/officeDocument/2006/relationships/hyperlink" Target="https://dalil.kg/document/202591" TargetMode="External"/><Relationship Id="rIdgpt68o_8cpjzunldgoxs0" Type="http://schemas.openxmlformats.org/officeDocument/2006/relationships/hyperlink" Target="https://dalil.kg/document/76491" TargetMode="External"/><Relationship Id="rIdccl0jqtsjkg700yklylg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y4rxzmnn0umyyobwtfc" Type="http://schemas.openxmlformats.org/officeDocument/2006/relationships/hyperlink" Target="https://dalil.kg/document/157092" TargetMode="External"/><Relationship Id="rId97c3dtpjti28ckouks6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2026-10-01T12:38:39.148Z</dcterms:created>
  <dcterms:modified xsi:type="dcterms:W3CDTF">2026-10-01T12:38:39.148Z</dcterms:modified>
</cp:coreProperties>
</file>

<file path=docProps/custom.xml><?xml version="1.0" encoding="utf-8"?>
<Properties xmlns="http://schemas.openxmlformats.org/officeDocument/2006/custom-properties" xmlns:vt="http://schemas.openxmlformats.org/officeDocument/2006/docPropsVTypes"/>
</file>