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18 ноября 2019 года № 608</w:t>
      </w:r>
    </w:p>
    <w:p>
      <w:pPr>
        <w:spacing w:after="400" w:before="400"/>
        <w:jc w:val="center"/>
      </w:pPr>
      <w:r>
        <w:rPr>
          <w:rFonts w:ascii="Arial" w:cs="Arial" w:eastAsia="Arial" w:hAnsi="Arial"/>
          <w:b/>
          <w:bCs/>
          <w:sz w:val="28"/>
          <w:szCs w:val="28"/>
        </w:rPr>
        <w:t xml:space="preserve">О заключении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Трудовой кодекс Кыргызской Республики, Налоговый кодекс Кыргызской Республики и Закон Кыргызской Республики "Об образовании")</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g3fuu3w4slozvsmffoeh6">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Одобрить прилагаемое </w:t>
      </w:r>
      <w:hyperlink w:history="1" r:id="rIdyblelqg8opdewavsqqje1">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Трудовой </w:t>
      </w:r>
      <w:hyperlink w:history="1" r:id="rIdgur908hcbw-w4eweg4om0">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Налоговый </w:t>
      </w:r>
      <w:hyperlink w:history="1" r:id="rIdvszwm_oe1ssezmsrrt8dl">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 </w:t>
      </w:r>
      <w:hyperlink w:history="1" r:id="rIdqytmt2-k1vvcl6sozm6u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инициированный депутатами Жогорку Кенеша Кыргызской Республики Нурбаевым А.М., Акаевым Ж.К., Исмаиловой А.Ж., Бекешевым Д.Д., Строковой Е.Г., Арапбаевым А.А., Примовым У.Б., Каримовым Н.Т., Джураевым С.М., Кулбараковым А.И., Бакировым О.М., Эгембердиевым М.Б., Маннановым И.А.</w:t>
      </w:r>
    </w:p>
    <w:p>
      <w:pPr>
        <w:spacing w:after="60"/>
        <w:ind w:firstLine="567"/>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 Абылгазиев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18 ноября 2019 года № 608</w:t>
      </w:r>
    </w:p>
    <w:p>
      <w:pPr>
        <w:spacing w:after="400" w:before="400"/>
        <w:jc w:val="center"/>
      </w:pPr>
      <w:r>
        <w:rPr>
          <w:rFonts w:ascii="Arial" w:cs="Arial" w:eastAsia="Arial" w:hAnsi="Arial"/>
          <w:b/>
          <w:bCs/>
          <w:sz w:val="32"/>
          <w:szCs w:val="32"/>
        </w:rPr>
        <w:t xml:space="preserve">ЗАКЛЮЧЕНИЕ</w:t>
      </w:r>
      <w:r>
        <w:rPr>
          <w:rFonts w:ascii="Arial" w:cs="Arial" w:eastAsia="Arial" w:hAnsi="Arial"/>
          <w:b/>
          <w:bCs/>
          <w:sz w:val="32"/>
          <w:szCs w:val="32"/>
        </w:rPr>
        <w:t xml:space="preserve">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(в Трудовой кодекс Кыргызской Республики, Налоговый кодекс Кыргызской Республики и Закон Кыргызской Республики "Об образовании")</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fv9bwztzc8w3dq5oiymuy">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Закона Кыргызской Республики "О внесении изменений в некоторые законодательные акты Кыргызской Республики (в Трудовой </w:t>
      </w:r>
      <w:hyperlink w:history="1" r:id="rIdfbdtrdrgxsrk-oa-tzu1o">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Налоговый </w:t>
      </w:r>
      <w:hyperlink w:history="1" r:id="rIdp9gcxuydwdgoxcoy0zalv">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 </w:t>
      </w:r>
      <w:hyperlink w:history="1" r:id="rIdaifla6y3bkf7hvfs8pnu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инициированный депутатами Жогорку Кенеша Кыргызской Республики Нурбаевым А.М., Акаевым Ж.К., Исмаиловой А.Ж., Бекешевым Д.Д., Строковой Е.Г., Арапбаевым А.А., Примовым У.Б., Каримовым Н.Т., Джураевым С.М., Кулбараковым А.И., Бакировым О.М., Эгембердиевым М.Б., Маннановым И.А., приходит к следующему заключению.</w:t>
      </w:r>
    </w:p>
    <w:p>
      <w:pPr>
        <w:spacing w:after="60"/>
        <w:ind w:firstLine="567"/>
        <w:jc w:val="both"/>
      </w:pPr>
      <w:r>
        <w:rPr>
          <w:rFonts w:ascii="Arial" w:cs="Arial" w:eastAsia="Arial" w:hAnsi="Arial"/>
          <w:sz w:val="24"/>
          <w:szCs w:val="24"/>
        </w:rPr>
        <w:t xml:space="preserve">1. Пунктом 1 статьи 1 проекта Закона предлагается </w:t>
      </w:r>
      <w:r>
        <w:rPr>
          <w:rFonts w:ascii="Arial" w:cs="Arial" w:eastAsia="Arial" w:hAnsi="Arial"/>
          <w:sz w:val="24"/>
          <w:szCs w:val="24"/>
        </w:rPr>
        <w:t xml:space="preserve">статью 151</w:t>
      </w:r>
      <w:r>
        <w:rPr>
          <w:rFonts w:ascii="Arial" w:cs="Arial" w:eastAsia="Arial" w:hAnsi="Arial"/>
          <w:sz w:val="24"/>
          <w:szCs w:val="24"/>
        </w:rPr>
        <w:t xml:space="preserve"> Трудового </w:t>
      </w:r>
      <w:hyperlink w:history="1" r:id="rIdcjn0i-3_zant0b9nn9w69">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дополнить частью 3, согласно которой вводится понятие "компенсационные выплаты", означающее "денежные выплаты, связанные с особым режимом работы и условиями труда, потерей работы, возмещением работникам затрат, связанных с исполнением ими трудовых или иных предусмотренных законами Кыргызской Республики обязанностей, а также выплаты, связанные с профессиональной подготовкой, переподготовкой и повышением квалификации работников или иных лиц, не состоящих в трудовых отношениях (далее - обучаемый)".</w:t>
      </w:r>
    </w:p>
    <w:p>
      <w:pPr>
        <w:spacing w:after="60"/>
        <w:ind w:firstLine="567"/>
        <w:jc w:val="both"/>
      </w:pPr>
      <w:r>
        <w:rPr>
          <w:rFonts w:ascii="Arial" w:cs="Arial" w:eastAsia="Arial" w:hAnsi="Arial"/>
          <w:sz w:val="24"/>
          <w:szCs w:val="24"/>
        </w:rPr>
        <w:t xml:space="preserve">Однако необходимо отметить, что </w:t>
      </w:r>
      <w:r>
        <w:rPr>
          <w:rFonts w:ascii="Arial" w:cs="Arial" w:eastAsia="Arial" w:hAnsi="Arial"/>
          <w:sz w:val="24"/>
          <w:szCs w:val="24"/>
        </w:rPr>
        <w:t xml:space="preserve">статьей 181</w:t>
      </w:r>
      <w:r>
        <w:rPr>
          <w:rFonts w:ascii="Arial" w:cs="Arial" w:eastAsia="Arial" w:hAnsi="Arial"/>
          <w:sz w:val="24"/>
          <w:szCs w:val="24"/>
        </w:rPr>
        <w:t xml:space="preserve"> Трудового </w:t>
      </w:r>
      <w:hyperlink w:history="1" r:id="rIdmi54rkkchmkrsewoadpb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установлено понятие "компенсация", под которым понимаются денежные выплаты, установленные в целях возмещения работникам затрат, связанных с исполнением ими трудовых или иных предусмотренных законом обязанностей.</w:t>
      </w:r>
    </w:p>
    <w:p>
      <w:pPr>
        <w:spacing w:after="60"/>
        <w:ind w:firstLine="567"/>
        <w:jc w:val="both"/>
      </w:pPr>
      <w:r>
        <w:rPr>
          <w:rFonts w:ascii="Arial" w:cs="Arial" w:eastAsia="Arial" w:hAnsi="Arial"/>
          <w:sz w:val="24"/>
          <w:szCs w:val="24"/>
        </w:rPr>
        <w:t xml:space="preserve">В данном контексте необходимо отметить, что предусмотренные проектом Закона "компенсационные выплаты, связанные с профессиональной подготовкой, переподготовкой и повышением квалификации работников или иных лиц, не состоящих в трудовых отношениях", не связаны с их затратами, а относятся к вознаграждению за исполнение трудовых или иных предусмотренных обязанностей, и по своей сути являются заработной платой.</w:t>
      </w:r>
    </w:p>
    <w:p>
      <w:pPr>
        <w:spacing w:after="60"/>
        <w:ind w:firstLine="567"/>
        <w:jc w:val="both"/>
      </w:pPr>
      <w:r>
        <w:rPr>
          <w:rFonts w:ascii="Arial" w:cs="Arial" w:eastAsia="Arial" w:hAnsi="Arial"/>
          <w:sz w:val="24"/>
          <w:szCs w:val="24"/>
        </w:rPr>
        <w:t xml:space="preserve">Также следует учесть, что согласно </w:t>
      </w:r>
      <w:r>
        <w:rPr>
          <w:rFonts w:ascii="Arial" w:cs="Arial" w:eastAsia="Arial" w:hAnsi="Arial"/>
          <w:sz w:val="24"/>
          <w:szCs w:val="24"/>
        </w:rPr>
        <w:t xml:space="preserve">статье 195</w:t>
      </w:r>
      <w:r>
        <w:rPr>
          <w:rFonts w:ascii="Arial" w:cs="Arial" w:eastAsia="Arial" w:hAnsi="Arial"/>
          <w:sz w:val="24"/>
          <w:szCs w:val="24"/>
        </w:rPr>
        <w:t xml:space="preserve"> указанного </w:t>
      </w:r>
      <w:hyperlink w:history="1" r:id="rIdmthwnr9vx8uroju17jar7">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работодатель проводит профессиональную подготовку, переподготовку и повышение квалификации работников, обучение их вторым профессиям в организации, а при необходимости - в образовательных организациях начального, среднего и высшего профессионального образования, на условиях и в порядке, определяемых в коллективном договоре, соглашениях, трудовом договоре.</w:t>
      </w:r>
    </w:p>
    <w:p>
      <w:pPr>
        <w:spacing w:after="60"/>
        <w:ind w:firstLine="567"/>
        <w:jc w:val="both"/>
      </w:pPr>
      <w:r>
        <w:rPr>
          <w:rFonts w:ascii="Arial" w:cs="Arial" w:eastAsia="Arial" w:hAnsi="Arial"/>
          <w:sz w:val="24"/>
          <w:szCs w:val="24"/>
        </w:rPr>
        <w:t xml:space="preserve">Формы профессиональной подготовки и переподготовки кадров, перечень профессий и специальностей определяются работодателем.</w:t>
      </w:r>
    </w:p>
    <w:p>
      <w:pPr>
        <w:spacing w:after="60"/>
        <w:ind w:firstLine="567"/>
        <w:jc w:val="both"/>
      </w:pPr>
      <w:r>
        <w:rPr>
          <w:rFonts w:ascii="Arial" w:cs="Arial" w:eastAsia="Arial" w:hAnsi="Arial"/>
          <w:sz w:val="24"/>
          <w:szCs w:val="24"/>
        </w:rPr>
        <w:t xml:space="preserve">В случаях, предусмотренных законами, иными нормативными правовыми актами, работодатель обязан проводить повышение квалификации работников, если повышение квалификации является для них условием выполнения определенных видов деятельности.</w:t>
      </w:r>
    </w:p>
    <w:p>
      <w:pPr>
        <w:spacing w:after="60"/>
        <w:ind w:firstLine="567"/>
        <w:jc w:val="both"/>
      </w:pPr>
      <w:r>
        <w:rPr>
          <w:rFonts w:ascii="Arial" w:cs="Arial" w:eastAsia="Arial" w:hAnsi="Arial"/>
          <w:sz w:val="24"/>
          <w:szCs w:val="24"/>
        </w:rPr>
        <w:t xml:space="preserve">Работникам, проходящим профессиональную подготовку, работодатель должен создавать необходимые условия для совмещения работы с обучением, предоставлять гарантии, установленные настоящим Кодексом, иными нормативными правовыми актами, коллективным договором, соглашениями, трудовым договором.</w:t>
      </w:r>
    </w:p>
    <w:p>
      <w:pPr>
        <w:spacing w:after="60"/>
        <w:ind w:firstLine="567"/>
        <w:jc w:val="both"/>
      </w:pPr>
      <w:r>
        <w:rPr>
          <w:rFonts w:ascii="Arial" w:cs="Arial" w:eastAsia="Arial" w:hAnsi="Arial"/>
          <w:sz w:val="24"/>
          <w:szCs w:val="24"/>
        </w:rPr>
        <w:t xml:space="preserve">Учитывая изложенное, а также во избежание спорных ситуаций в правоприменительной практике и исключения дублирования правовых норм по одному и тому же вопросу, пункт 1 статьи 1 проекта Закона предлагаем пересмотреть либо исключить.</w:t>
      </w:r>
    </w:p>
    <w:p>
      <w:pPr>
        <w:spacing w:after="60"/>
        <w:ind w:firstLine="567"/>
        <w:jc w:val="both"/>
      </w:pPr>
      <w:r>
        <w:rPr>
          <w:rFonts w:ascii="Arial" w:cs="Arial" w:eastAsia="Arial" w:hAnsi="Arial"/>
          <w:sz w:val="24"/>
          <w:szCs w:val="24"/>
        </w:rPr>
        <w:t xml:space="preserve">2. В абзаце десятом пункта 2 статьи 1 проекта Закона отмечается, что "ученический договор - это специальный договор, заключенный между работодателем и молодым специалистом, об условиях профессиональной подготовки, переподготовки, который является стажировкой".</w:t>
      </w:r>
    </w:p>
    <w:p>
      <w:pPr>
        <w:spacing w:after="60"/>
        <w:ind w:firstLine="567"/>
        <w:jc w:val="both"/>
      </w:pPr>
      <w:r>
        <w:rPr>
          <w:rFonts w:ascii="Arial" w:cs="Arial" w:eastAsia="Arial" w:hAnsi="Arial"/>
          <w:sz w:val="24"/>
          <w:szCs w:val="24"/>
        </w:rPr>
        <w:t xml:space="preserve">Также абзацем одиннадцатым пункта 2 указанной статьи проекта Закона устанавливается, что "молодой специалист - гражданин, не достигший 28 лет, не имеющий трудовой стаж по специальности".</w:t>
      </w:r>
    </w:p>
    <w:p>
      <w:pPr>
        <w:spacing w:after="60"/>
        <w:ind w:firstLine="567"/>
        <w:jc w:val="both"/>
      </w:pPr>
      <w:r>
        <w:rPr>
          <w:rFonts w:ascii="Arial" w:cs="Arial" w:eastAsia="Arial" w:hAnsi="Arial"/>
          <w:sz w:val="24"/>
          <w:szCs w:val="24"/>
        </w:rPr>
        <w:t xml:space="preserve">Кроме этого, пунктом 3 статьи 1 проекта Закона предлагается </w:t>
      </w:r>
      <w:r>
        <w:rPr>
          <w:rFonts w:ascii="Arial" w:cs="Arial" w:eastAsia="Arial" w:hAnsi="Arial"/>
          <w:sz w:val="24"/>
          <w:szCs w:val="24"/>
        </w:rPr>
        <w:t xml:space="preserve">статью 195</w:t>
      </w:r>
      <w:r>
        <w:rPr>
          <w:rFonts w:ascii="Arial" w:cs="Arial" w:eastAsia="Arial" w:hAnsi="Arial"/>
          <w:sz w:val="24"/>
          <w:szCs w:val="24"/>
        </w:rPr>
        <w:t xml:space="preserve"> Трудового </w:t>
      </w:r>
      <w:hyperlink w:history="1" r:id="rIdtysai9pqiiyqswp8iloc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дополнить частью 6, в соответствии с которой устанавливается, что "количество молодых специалистов, принимаемых по ученическому договору, не может превышать 15 процентов от общего числа работников организации".</w:t>
      </w:r>
    </w:p>
    <w:p>
      <w:pPr>
        <w:spacing w:after="60"/>
        <w:ind w:firstLine="567"/>
        <w:jc w:val="both"/>
      </w:pPr>
      <w:r>
        <w:rPr>
          <w:rFonts w:ascii="Arial" w:cs="Arial" w:eastAsia="Arial" w:hAnsi="Arial"/>
          <w:sz w:val="24"/>
          <w:szCs w:val="24"/>
        </w:rPr>
        <w:t xml:space="preserve">Вместе с тем отмечаем, что согласно </w:t>
      </w:r>
      <w:r>
        <w:rPr>
          <w:rFonts w:ascii="Arial" w:cs="Arial" w:eastAsia="Arial" w:hAnsi="Arial"/>
          <w:sz w:val="24"/>
          <w:szCs w:val="24"/>
        </w:rPr>
        <w:t xml:space="preserve">статье 9</w:t>
      </w:r>
      <w:r>
        <w:rPr>
          <w:rFonts w:ascii="Arial" w:cs="Arial" w:eastAsia="Arial" w:hAnsi="Arial"/>
          <w:sz w:val="24"/>
          <w:szCs w:val="24"/>
        </w:rPr>
        <w:t xml:space="preserve"> Трудового </w:t>
      </w:r>
      <w:hyperlink w:history="1" r:id="rIdtuuxhcfnuyy8xrvn1bqu9">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каждый имеет равные возможности для реализации своих трудовых прав и свобод независимо от возраста, а также от других обстоятельств, не связанных с деловыми качествами работника и результатами его труда.</w:t>
      </w:r>
    </w:p>
    <w:p>
      <w:pPr>
        <w:spacing w:after="60"/>
        <w:ind w:firstLine="567"/>
        <w:jc w:val="both"/>
      </w:pPr>
      <w:r>
        <w:rPr>
          <w:rFonts w:ascii="Arial" w:cs="Arial" w:eastAsia="Arial" w:hAnsi="Arial"/>
          <w:sz w:val="24"/>
          <w:szCs w:val="24"/>
        </w:rPr>
        <w:t xml:space="preserve">Одновременно обращаем внимание, что согласно </w:t>
      </w:r>
      <w:r>
        <w:rPr>
          <w:rFonts w:ascii="Arial" w:cs="Arial" w:eastAsia="Arial" w:hAnsi="Arial"/>
          <w:sz w:val="24"/>
          <w:szCs w:val="24"/>
        </w:rPr>
        <w:t xml:space="preserve">статье 16</w:t>
      </w:r>
      <w:r>
        <w:rPr>
          <w:rFonts w:ascii="Arial" w:cs="Arial" w:eastAsia="Arial" w:hAnsi="Arial"/>
          <w:sz w:val="24"/>
          <w:szCs w:val="24"/>
        </w:rPr>
        <w:t xml:space="preserve"> </w:t>
      </w:r>
      <w:hyperlink w:history="1" r:id="rIdrharjzgyh8dj0f-xy13b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никто не может подвергаться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w:t>
      </w:r>
    </w:p>
    <w:p>
      <w:pPr>
        <w:spacing w:after="60"/>
        <w:ind w:firstLine="567"/>
        <w:jc w:val="both"/>
      </w:pPr>
      <w:r>
        <w:rPr>
          <w:rFonts w:ascii="Arial" w:cs="Arial" w:eastAsia="Arial" w:hAnsi="Arial"/>
          <w:sz w:val="24"/>
          <w:szCs w:val="24"/>
        </w:rPr>
        <w:t xml:space="preserve">В связи с этим, а также во избежание нарушения трудовых прав граждан по возрастному признаку, предлагаем абзацы десятый и одиннадцатый пункта 1 и пункт 3 статьи 1 проекта Закона пересмотреть.</w:t>
      </w:r>
    </w:p>
    <w:p>
      <w:pPr>
        <w:spacing w:after="60"/>
        <w:ind w:firstLine="567"/>
        <w:jc w:val="both"/>
      </w:pPr>
      <w:r>
        <w:rPr>
          <w:rFonts w:ascii="Arial" w:cs="Arial" w:eastAsia="Arial" w:hAnsi="Arial"/>
          <w:sz w:val="24"/>
          <w:szCs w:val="24"/>
        </w:rPr>
        <w:t xml:space="preserve">3. Следует отметить, что в соответствии со </w:t>
      </w:r>
      <w:r>
        <w:rPr>
          <w:rFonts w:ascii="Arial" w:cs="Arial" w:eastAsia="Arial" w:hAnsi="Arial"/>
          <w:sz w:val="24"/>
          <w:szCs w:val="24"/>
        </w:rPr>
        <w:t xml:space="preserve">статьей 11</w:t>
      </w:r>
      <w:r>
        <w:rPr>
          <w:rFonts w:ascii="Arial" w:cs="Arial" w:eastAsia="Arial" w:hAnsi="Arial"/>
          <w:sz w:val="24"/>
          <w:szCs w:val="24"/>
        </w:rPr>
        <w:t xml:space="preserve"> </w:t>
      </w:r>
      <w:hyperlink w:history="1" r:id="rIdajk1vl5af-nta9thpu8hl">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исходя из полномочий, указанных в </w:t>
      </w:r>
      <w:hyperlink w:history="1" r:id="rIdxwa-f14jxgfihfxovvqje">
        <w:r>
          <w:rPr>
            <w:rFonts w:ascii="Arial" w:cs="Arial" w:eastAsia="Arial" w:hAnsi="Arial"/>
            <w:color w:val="1D4ED8"/>
            <w:sz w:val="24"/>
            <w:szCs w:val="24"/>
            <w:u w:val="single"/>
          </w:rPr>
          <w:t xml:space="preserve">конституционном Законе</w:t>
        </w:r>
      </w:hyperlink>
      <w:r>
        <w:rPr>
          <w:rFonts w:ascii="Arial" w:cs="Arial" w:eastAsia="Arial" w:hAnsi="Arial"/>
          <w:sz w:val="24"/>
          <w:szCs w:val="24"/>
        </w:rPr>
        <w:t xml:space="preserve">, распределяет функции по их реализации между министерствами, государственными комитетами, административными ведомствами и местными государственными администрациями.</w:t>
      </w:r>
    </w:p>
    <w:p>
      <w:pPr>
        <w:spacing w:after="60"/>
        <w:ind w:firstLine="567"/>
        <w:jc w:val="both"/>
      </w:pPr>
      <w:r>
        <w:rPr>
          <w:rFonts w:ascii="Arial" w:cs="Arial" w:eastAsia="Arial" w:hAnsi="Arial"/>
          <w:sz w:val="24"/>
          <w:szCs w:val="24"/>
        </w:rPr>
        <w:t xml:space="preserve">Распределение функций осуществляется посредством утверждения положений о вышеназванных государственных органах, детально регламентирующих правовой статус, организацию, порядок деятельности, их права, обязанности, ответственность, а также определяющих их взаимоотношения с другими органами, учреждениями и гражданами.</w:t>
      </w:r>
    </w:p>
    <w:p>
      <w:pPr>
        <w:spacing w:after="60"/>
        <w:ind w:firstLine="567"/>
        <w:jc w:val="both"/>
      </w:pPr>
      <w:r>
        <w:rPr>
          <w:rFonts w:ascii="Arial" w:cs="Arial" w:eastAsia="Arial" w:hAnsi="Arial"/>
          <w:sz w:val="24"/>
          <w:szCs w:val="24"/>
        </w:rPr>
        <w:t xml:space="preserve">В связи с этим в абзаце третьем пункта 10 статьи 1 проекта Закона предлагаем исключить положения, регламентирующие полномочия уполномоченного органа в области образования, в части утверждения типовой формы договора о дуальном обучении, и, при необходимости, трансформировать их в нормативные предписания.</w:t>
      </w:r>
    </w:p>
    <w:p>
      <w:pPr>
        <w:spacing w:after="60"/>
        <w:ind w:firstLine="567"/>
        <w:jc w:val="both"/>
      </w:pPr>
      <w:r>
        <w:rPr>
          <w:rFonts w:ascii="Arial" w:cs="Arial" w:eastAsia="Arial" w:hAnsi="Arial"/>
          <w:sz w:val="24"/>
          <w:szCs w:val="24"/>
        </w:rPr>
        <w:t xml:space="preserve">4. Пунктом 1 статьи 2 проекта Закона предусматривается </w:t>
      </w:r>
      <w:r>
        <w:rPr>
          <w:rFonts w:ascii="Arial" w:cs="Arial" w:eastAsia="Arial" w:hAnsi="Arial"/>
          <w:sz w:val="24"/>
          <w:szCs w:val="24"/>
        </w:rPr>
        <w:t xml:space="preserve">статью 167</w:t>
      </w:r>
      <w:r>
        <w:rPr>
          <w:rFonts w:ascii="Arial" w:cs="Arial" w:eastAsia="Arial" w:hAnsi="Arial"/>
          <w:sz w:val="24"/>
          <w:szCs w:val="24"/>
        </w:rPr>
        <w:t xml:space="preserve"> Налогового </w:t>
      </w:r>
      <w:hyperlink w:history="1" r:id="rIdvygmd7gh2ov_7o5yewtf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дополнить пунктом 45, в соответствии с которым предлагается установить, что "суммы компенсационных выплат, выплачиваемые работодателем молодым специалистам, нанимаемым на основании ученического договора не более двенадцати месяцев, в размере, не превышающем 100 расчетных показателей в месяц, следующих подряд, не облагаются подоходным налогом".</w:t>
      </w:r>
    </w:p>
    <w:p>
      <w:pPr>
        <w:spacing w:after="60"/>
        <w:ind w:firstLine="567"/>
        <w:jc w:val="both"/>
      </w:pPr>
      <w:r>
        <w:rPr>
          <w:rFonts w:ascii="Arial" w:cs="Arial" w:eastAsia="Arial" w:hAnsi="Arial"/>
          <w:sz w:val="24"/>
          <w:szCs w:val="24"/>
        </w:rPr>
        <w:t xml:space="preserve">Также пунктом 2 статьи 2 проекта Закона </w:t>
      </w:r>
      <w:r>
        <w:rPr>
          <w:rFonts w:ascii="Arial" w:cs="Arial" w:eastAsia="Arial" w:hAnsi="Arial"/>
          <w:sz w:val="24"/>
          <w:szCs w:val="24"/>
        </w:rPr>
        <w:t xml:space="preserve">статью 195</w:t>
      </w:r>
      <w:r>
        <w:rPr>
          <w:rFonts w:ascii="Arial" w:cs="Arial" w:eastAsia="Arial" w:hAnsi="Arial"/>
          <w:sz w:val="24"/>
          <w:szCs w:val="24"/>
        </w:rPr>
        <w:t xml:space="preserve"> Налогового </w:t>
      </w:r>
      <w:hyperlink w:history="1" r:id="rIdc1uizkwu6ehjuzn8mnxh3">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предлагается дополнить частью 4, согласно которой "к расходам налогоплательщика на подготовку и переподготовку кадров относятся выплаченные суммы компенсационных выплат на основании ученического договора не более двенадцати месяцев, следующих подряд, в размере, не превышающим 100 расчетных показателей в месяц".</w:t>
      </w:r>
    </w:p>
    <w:p>
      <w:pPr>
        <w:spacing w:after="60"/>
        <w:ind w:firstLine="567"/>
        <w:jc w:val="both"/>
      </w:pPr>
      <w:r>
        <w:rPr>
          <w:rFonts w:ascii="Arial" w:cs="Arial" w:eastAsia="Arial" w:hAnsi="Arial"/>
          <w:sz w:val="24"/>
          <w:szCs w:val="24"/>
        </w:rPr>
        <w:t xml:space="preserve">Вместе с тем следует отметить, что налоговое законодательство Кыргызской Республики, согласно </w:t>
      </w:r>
      <w:r>
        <w:rPr>
          <w:rFonts w:ascii="Arial" w:cs="Arial" w:eastAsia="Arial" w:hAnsi="Arial"/>
          <w:sz w:val="24"/>
          <w:szCs w:val="24"/>
        </w:rPr>
        <w:t xml:space="preserve">статье 5</w:t>
      </w:r>
      <w:r>
        <w:rPr>
          <w:rFonts w:ascii="Arial" w:cs="Arial" w:eastAsia="Arial" w:hAnsi="Arial"/>
          <w:sz w:val="24"/>
          <w:szCs w:val="24"/>
        </w:rPr>
        <w:t xml:space="preserve"> Налогового </w:t>
      </w:r>
      <w:hyperlink w:history="1" r:id="rIdb2cw7maba8j9whklutxf6">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основывается на принципах обязательности налогообложения, единства налоговой системы, гласности налогового законодательства, справедливости налогообложения, определенности налогообложения.</w:t>
      </w:r>
    </w:p>
    <w:p>
      <w:pPr>
        <w:spacing w:after="60"/>
        <w:ind w:firstLine="567"/>
        <w:jc w:val="both"/>
      </w:pPr>
      <w:r>
        <w:rPr>
          <w:rFonts w:ascii="Arial" w:cs="Arial" w:eastAsia="Arial" w:hAnsi="Arial"/>
          <w:sz w:val="24"/>
          <w:szCs w:val="24"/>
        </w:rPr>
        <w:t xml:space="preserve">В связи с этим полагаем, что предлагаемая статьей 2 проекта Закона норма противоречит таким основным принципам налогового законодательства Кыргызской Республики, как принципу справедливости и обязательности налогообложения.</w:t>
      </w:r>
    </w:p>
    <w:p>
      <w:pPr>
        <w:spacing w:after="60"/>
        <w:ind w:firstLine="567"/>
        <w:jc w:val="both"/>
      </w:pPr>
      <w:r>
        <w:rPr>
          <w:rFonts w:ascii="Arial" w:cs="Arial" w:eastAsia="Arial" w:hAnsi="Arial"/>
          <w:sz w:val="24"/>
          <w:szCs w:val="24"/>
        </w:rPr>
        <w:t xml:space="preserve">В случае введения предлагаемой законопроектом нормы, возникнет риск уклонения от налогообложения, чем могут воспользоваться недобросовестные налогоплательщики, путем:</w:t>
      </w:r>
    </w:p>
    <w:p>
      <w:pPr>
        <w:spacing w:after="60"/>
        <w:ind w:firstLine="567"/>
        <w:jc w:val="both"/>
      </w:pPr>
      <w:r>
        <w:rPr>
          <w:rFonts w:ascii="Arial" w:cs="Arial" w:eastAsia="Arial" w:hAnsi="Arial"/>
          <w:sz w:val="24"/>
          <w:szCs w:val="24"/>
        </w:rPr>
        <w:t xml:space="preserve">- оформления принятых на работу основных сотрудников в качестве стажеров;</w:t>
      </w:r>
    </w:p>
    <w:p>
      <w:pPr>
        <w:spacing w:after="60"/>
        <w:ind w:firstLine="567"/>
        <w:jc w:val="both"/>
      </w:pPr>
      <w:r>
        <w:rPr>
          <w:rFonts w:ascii="Arial" w:cs="Arial" w:eastAsia="Arial" w:hAnsi="Arial"/>
          <w:sz w:val="24"/>
          <w:szCs w:val="24"/>
        </w:rPr>
        <w:t xml:space="preserve">- фиктивной выплаты или искусственного увеличения заработной платы, выплачиваемой стажерам, тем самым используя эти выплаты в других целях и увеличивая свои расходы, подлежащие вычету по налогу на прибыль.</w:t>
      </w:r>
    </w:p>
    <w:p>
      <w:pPr>
        <w:spacing w:after="60"/>
        <w:ind w:firstLine="567"/>
        <w:jc w:val="both"/>
      </w:pPr>
      <w:r>
        <w:rPr>
          <w:rFonts w:ascii="Arial" w:cs="Arial" w:eastAsia="Arial" w:hAnsi="Arial"/>
          <w:sz w:val="24"/>
          <w:szCs w:val="24"/>
        </w:rPr>
        <w:t xml:space="preserve">В целом необходимо отметить, что предлагаемые статьей 2 проекта Закона нормы, с учетом указанных рисков, повлекут за собой потери бюджета по подоходному налогу и налогу на прибыль, что недопустимо в условиях дефицита государственного бюджета. Следовательно, уменьшение доходной части государственного бюджета, в условиях крайней ограниченности бюджетных средств, может привести к отрицательным экономическим и социальным последствиям.</w:t>
      </w:r>
    </w:p>
    <w:p>
      <w:pPr>
        <w:spacing w:after="60"/>
        <w:ind w:firstLine="567"/>
        <w:jc w:val="both"/>
      </w:pPr>
      <w:r>
        <w:rPr>
          <w:rFonts w:ascii="Arial" w:cs="Arial" w:eastAsia="Arial" w:hAnsi="Arial"/>
          <w:sz w:val="24"/>
          <w:szCs w:val="24"/>
        </w:rPr>
        <w:t xml:space="preserve">С учетом изложенного статью 2 проекта Закона следует исключить.</w:t>
      </w:r>
    </w:p>
    <w:p>
      <w:pPr>
        <w:spacing w:after="60"/>
        <w:ind w:firstLine="567"/>
        <w:jc w:val="both"/>
      </w:pPr>
      <w:r>
        <w:rPr>
          <w:rFonts w:ascii="Arial" w:cs="Arial" w:eastAsia="Arial" w:hAnsi="Arial"/>
          <w:sz w:val="24"/>
          <w:szCs w:val="24"/>
        </w:rPr>
        <w:t xml:space="preserve">5. Пунктом 1 статьи 3 проекта </w:t>
      </w:r>
      <w:hyperlink w:history="1" r:id="rIdthx6krpako_k5xbhq2g4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w:t>
      </w:r>
      <w:r>
        <w:rPr>
          <w:rFonts w:ascii="Arial" w:cs="Arial" w:eastAsia="Arial" w:hAnsi="Arial"/>
          <w:sz w:val="24"/>
          <w:szCs w:val="24"/>
        </w:rPr>
        <w:t xml:space="preserve">статью 1</w:t>
      </w:r>
      <w:r>
        <w:rPr>
          <w:rFonts w:ascii="Arial" w:cs="Arial" w:eastAsia="Arial" w:hAnsi="Arial"/>
          <w:sz w:val="24"/>
          <w:szCs w:val="24"/>
        </w:rPr>
        <w:t xml:space="preserve"> Закона Кыргызской Республики "Об образовании" предлагается дополнить понятием "дуальное обучение".</w:t>
      </w:r>
    </w:p>
    <w:p>
      <w:pPr>
        <w:spacing w:after="60"/>
        <w:ind w:firstLine="567"/>
        <w:jc w:val="both"/>
      </w:pPr>
      <w:r>
        <w:rPr>
          <w:rFonts w:ascii="Arial" w:cs="Arial" w:eastAsia="Arial" w:hAnsi="Arial"/>
          <w:sz w:val="24"/>
          <w:szCs w:val="24"/>
        </w:rPr>
        <w:t xml:space="preserve">При этом необходимо отметить, что согласно нормотворческой технике в тексте законопроекта все используемые термины (понятия) должны иметь определение, а все термины, приведенные в понятийной части, должны последовательно использоваться в тексте законопроекта.</w:t>
      </w:r>
    </w:p>
    <w:p>
      <w:pPr>
        <w:spacing w:after="60"/>
        <w:ind w:firstLine="567"/>
        <w:jc w:val="both"/>
      </w:pPr>
      <w:r>
        <w:rPr>
          <w:rFonts w:ascii="Arial" w:cs="Arial" w:eastAsia="Arial" w:hAnsi="Arial"/>
          <w:sz w:val="24"/>
          <w:szCs w:val="24"/>
        </w:rPr>
        <w:t xml:space="preserve">Однако понятие, указанное в пункте 1 статьи 2 проекта Закона, не используется в последующем в тексте проекта Закона.</w:t>
      </w:r>
    </w:p>
    <w:p>
      <w:pPr>
        <w:spacing w:after="60"/>
        <w:ind w:firstLine="567"/>
        <w:jc w:val="both"/>
      </w:pPr>
      <w:r>
        <w:rPr>
          <w:rFonts w:ascii="Arial" w:cs="Arial" w:eastAsia="Arial" w:hAnsi="Arial"/>
          <w:sz w:val="24"/>
          <w:szCs w:val="24"/>
        </w:rPr>
        <w:t xml:space="preserve">Соответственно, отсутствие указанного понятия может создать трудности при реализации проекта Закона в случае его принятия.</w:t>
      </w:r>
    </w:p>
    <w:p>
      <w:pPr>
        <w:spacing w:after="60"/>
        <w:ind w:firstLine="567"/>
        <w:jc w:val="both"/>
      </w:pPr>
      <w:r>
        <w:rPr>
          <w:rFonts w:ascii="Arial" w:cs="Arial" w:eastAsia="Arial" w:hAnsi="Arial"/>
          <w:sz w:val="24"/>
          <w:szCs w:val="24"/>
        </w:rPr>
        <w:t xml:space="preserve">В связи с этим пункт 1 статьи 3 проекта Закона предлагаем пересмотреть либо исключить.</w:t>
      </w:r>
    </w:p>
    <w:p>
      <w:pPr>
        <w:spacing w:after="60"/>
        <w:ind w:firstLine="567"/>
        <w:jc w:val="both"/>
      </w:pPr>
      <w:r>
        <w:rPr>
          <w:rFonts w:ascii="Arial" w:cs="Arial" w:eastAsia="Arial" w:hAnsi="Arial"/>
          <w:sz w:val="24"/>
          <w:szCs w:val="24"/>
        </w:rPr>
        <w:t xml:space="preserve">6. Пунктом 2 статьи 3 проекта Закона предлагается </w:t>
      </w:r>
      <w:r>
        <w:rPr>
          <w:rFonts w:ascii="Arial" w:cs="Arial" w:eastAsia="Arial" w:hAnsi="Arial"/>
          <w:sz w:val="24"/>
          <w:szCs w:val="24"/>
        </w:rPr>
        <w:t xml:space="preserve">статью 35</w:t>
      </w:r>
      <w:r>
        <w:rPr>
          <w:rFonts w:ascii="Arial" w:cs="Arial" w:eastAsia="Arial" w:hAnsi="Arial"/>
          <w:sz w:val="24"/>
          <w:szCs w:val="24"/>
        </w:rPr>
        <w:t xml:space="preserve"> </w:t>
      </w:r>
      <w:hyperlink w:history="1" r:id="rIdfcou9paciqoh7emalljw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образовании" дополнить абзацем двенадцатым, согласно которому устанавливается "разработка и утверждение правила организации дуального обучения по согласованию с заинтересованными государственными органами".</w:t>
      </w:r>
    </w:p>
    <w:p>
      <w:pPr>
        <w:spacing w:after="60"/>
        <w:ind w:firstLine="567"/>
        <w:jc w:val="both"/>
      </w:pPr>
      <w:r>
        <w:rPr>
          <w:rFonts w:ascii="Arial" w:cs="Arial" w:eastAsia="Arial" w:hAnsi="Arial"/>
          <w:sz w:val="24"/>
          <w:szCs w:val="24"/>
        </w:rPr>
        <w:t xml:space="preserve">При этом, в целях недопущения неясностей в правоприменительной практике в пункте 2 статьи 3 проекта Закона предлагаем четко определить, каким именно субъектом органов государственной власти должны быть разработаны и утверждены правила организации дуального обучения, а также конкретизировать перечень заинтересованных государственных органов.</w:t>
      </w:r>
    </w:p>
    <w:p>
      <w:pPr>
        <w:spacing w:after="60"/>
        <w:ind w:firstLine="567"/>
        <w:jc w:val="both"/>
      </w:pPr>
      <w:r>
        <w:rPr>
          <w:rFonts w:ascii="Arial" w:cs="Arial" w:eastAsia="Arial" w:hAnsi="Arial"/>
          <w:sz w:val="24"/>
          <w:szCs w:val="24"/>
        </w:rPr>
        <w:t xml:space="preserve">7. Пунктом 2 статьи 4 проекта Закона Правительству Кыргызской Республики дается поручение привести свои нормативные правовые акты в соответствие с рассматриваемым проектом Закона.</w:t>
      </w:r>
    </w:p>
    <w:p>
      <w:pPr>
        <w:spacing w:after="60"/>
        <w:ind w:firstLine="567"/>
        <w:jc w:val="both"/>
      </w:pPr>
      <w:r>
        <w:rPr>
          <w:rFonts w:ascii="Arial" w:cs="Arial" w:eastAsia="Arial" w:hAnsi="Arial"/>
          <w:sz w:val="24"/>
          <w:szCs w:val="24"/>
        </w:rPr>
        <w:t xml:space="preserve">Между тем необходимо отметить, что в соответствии со </w:t>
      </w:r>
      <w:r>
        <w:rPr>
          <w:rFonts w:ascii="Arial" w:cs="Arial" w:eastAsia="Arial" w:hAnsi="Arial"/>
          <w:sz w:val="24"/>
          <w:szCs w:val="24"/>
        </w:rPr>
        <w:t xml:space="preserve">статьей 24</w:t>
      </w:r>
      <w:r>
        <w:rPr>
          <w:rFonts w:ascii="Arial" w:cs="Arial" w:eastAsia="Arial" w:hAnsi="Arial"/>
          <w:sz w:val="24"/>
          <w:szCs w:val="24"/>
        </w:rPr>
        <w:t xml:space="preserve"> </w:t>
      </w:r>
      <w:hyperlink w:history="1" r:id="rId4wceakvbzydasrav_foo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в случаях, если для применения нормативного правового акта необходимо внесение изменений и дополнений в другие нормативные правовые акты, к вносимому проекту нормативного правого акта должны быть приложены проекты нормативных правовых актов с указанными изменениями и дополнениями.</w:t>
      </w:r>
    </w:p>
    <w:p>
      <w:pPr>
        <w:spacing w:after="60"/>
        <w:ind w:firstLine="567"/>
        <w:jc w:val="both"/>
      </w:pPr>
      <w:r>
        <w:rPr>
          <w:rFonts w:ascii="Arial" w:cs="Arial" w:eastAsia="Arial" w:hAnsi="Arial"/>
          <w:sz w:val="24"/>
          <w:szCs w:val="24"/>
        </w:rPr>
        <w:t xml:space="preserve">Вместе с тем, информация о нормативных правовых актах, подлежащих пересмотру в случае принятия рассматриваемого проекта Закона, не отражена в справке-обосновании к проекту Закона.</w:t>
      </w:r>
    </w:p>
    <w:p>
      <w:pPr>
        <w:spacing w:after="60"/>
        <w:ind w:firstLine="567"/>
        <w:jc w:val="both"/>
      </w:pPr>
      <w:r>
        <w:rPr>
          <w:rFonts w:ascii="Arial" w:cs="Arial" w:eastAsia="Arial" w:hAnsi="Arial"/>
          <w:sz w:val="24"/>
          <w:szCs w:val="24"/>
        </w:rPr>
        <w:t xml:space="preserve">При этом, если по итогам анализа будет выявлена необходимость разработки проектов нормативных правовых актов Правительства Кыргызской Республики, следует увеличить срок вступления проекта Закона, в целях устранения правового вакуума между законами и подзаконными актами.</w:t>
      </w:r>
    </w:p>
    <w:p>
      <w:pPr>
        <w:spacing w:after="60"/>
        <w:ind w:firstLine="567"/>
        <w:jc w:val="both"/>
      </w:pPr>
      <w:r>
        <w:rPr>
          <w:rFonts w:ascii="Arial" w:cs="Arial" w:eastAsia="Arial" w:hAnsi="Arial"/>
          <w:sz w:val="24"/>
          <w:szCs w:val="24"/>
        </w:rPr>
        <w:t xml:space="preserve">Также отмечаем, что согласно </w:t>
      </w:r>
      <w:r>
        <w:rPr>
          <w:rFonts w:ascii="Arial" w:cs="Arial" w:eastAsia="Arial" w:hAnsi="Arial"/>
          <w:sz w:val="24"/>
          <w:szCs w:val="24"/>
        </w:rPr>
        <w:t xml:space="preserve">статье 11</w:t>
      </w:r>
      <w:r>
        <w:rPr>
          <w:rFonts w:ascii="Arial" w:cs="Arial" w:eastAsia="Arial" w:hAnsi="Arial"/>
          <w:sz w:val="24"/>
          <w:szCs w:val="24"/>
        </w:rPr>
        <w:t xml:space="preserve"> </w:t>
      </w:r>
      <w:hyperlink w:history="1" r:id="rIdrovshrlr858-ybjjxss3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нормативные правовые акты должны быть внутренне согласованными, логично построенными и соответствовать нормотворческой технике.</w:t>
      </w:r>
    </w:p>
    <w:p>
      <w:pPr>
        <w:spacing w:after="60"/>
        <w:ind w:firstLine="567"/>
        <w:jc w:val="both"/>
      </w:pPr>
      <w:r>
        <w:rPr>
          <w:rFonts w:ascii="Arial" w:cs="Arial" w:eastAsia="Arial" w:hAnsi="Arial"/>
          <w:sz w:val="24"/>
          <w:szCs w:val="24"/>
        </w:rPr>
        <w:t xml:space="preserve">Однако положения представленного проекта Закона не соответствуют требованиям вышеуказанного Закона и пунктам 38, 45, 52, 53 и 86 </w:t>
      </w:r>
      <w:hyperlink w:history="1" r:id="rIdqu3ooz7rapi_wjfpwndme">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законодательной технике, утвержденной </w:t>
      </w:r>
      <w:hyperlink w:history="1" r:id="rId35nret8betmq7yp_etb3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26 июня 2015 года № 5389-V.</w:t>
      </w:r>
    </w:p>
    <w:p>
      <w:pPr>
        <w:spacing w:after="60"/>
        <w:ind w:firstLine="567"/>
        <w:jc w:val="both"/>
      </w:pPr>
      <w:r>
        <w:rPr>
          <w:rFonts w:ascii="Arial" w:cs="Arial" w:eastAsia="Arial" w:hAnsi="Arial"/>
          <w:sz w:val="24"/>
          <w:szCs w:val="24"/>
        </w:rPr>
        <w:t xml:space="preserve">На основании вышеизложенного Правительство Кыргызской Республики считает целесообразным доработать проект Закона, с учетом замечаний и предложений, изложенных в настоящем заключении.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djypqaedzuzrgudmpvcf">
      <w:r>
        <w:rPr>
          <w:rFonts w:ascii="Arial" w:cs="Arial" w:eastAsia="Arial" w:hAnsi="Arial"/>
          <w:color w:val="132D3F"/>
          <w:sz w:val="16"/>
          <w:szCs w:val="16"/>
          <w:u w:val="single"/>
        </w:rPr>
        <w:t xml:space="preserve">dalil.kg/document/157250</w:t>
      </w:r>
    </w:hyperlink>
  </w:p>
  <w:p>
    <w:pPr>
      <w:spacing w:after="0" w:before="40"/>
      <w:jc w:val="center"/>
    </w:pPr>
    <w:hyperlink w:history="1" r:id="rIdawqyaren86xeluqgqh8b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3fuu3w4slozvsmffoeh6" Type="http://schemas.openxmlformats.org/officeDocument/2006/relationships/hyperlink" Target="https://dalil.kg/document/203685" TargetMode="External"/><Relationship Id="rIdyblelqg8opdewavsqqje1" Type="http://schemas.openxmlformats.org/officeDocument/2006/relationships/hyperlink" Target="https://dalil.kg/document/157250#p1" TargetMode="External"/><Relationship Id="rIdgur908hcbw-w4eweg4om0" Type="http://schemas.openxmlformats.org/officeDocument/2006/relationships/hyperlink" Target="https://dalil.kg/document/1505" TargetMode="External"/><Relationship Id="rIdvszwm_oe1ssezmsrrt8dl" Type="http://schemas.openxmlformats.org/officeDocument/2006/relationships/hyperlink" Target="https://dalil.kg/document/202445" TargetMode="External"/><Relationship Id="rIdqytmt2-k1vvcl6sozm6ul" Type="http://schemas.openxmlformats.org/officeDocument/2006/relationships/hyperlink" Target="https://dalil.kg/document/1216" TargetMode="External"/><Relationship Id="rIdfv9bwztzc8w3dq5oiymuy" Type="http://schemas.openxmlformats.org/officeDocument/2006/relationships/hyperlink" Target="https://dalil.kg/document/203685" TargetMode="External"/><Relationship Id="rIdfbdtrdrgxsrk-oa-tzu1o" Type="http://schemas.openxmlformats.org/officeDocument/2006/relationships/hyperlink" Target="https://dalil.kg/document/1505" TargetMode="External"/><Relationship Id="rIdp9gcxuydwdgoxcoy0zalv" Type="http://schemas.openxmlformats.org/officeDocument/2006/relationships/hyperlink" Target="https://dalil.kg/document/202445" TargetMode="External"/><Relationship Id="rIdaifla6y3bkf7hvfs8pnuw" Type="http://schemas.openxmlformats.org/officeDocument/2006/relationships/hyperlink" Target="https://dalil.kg/document/1216" TargetMode="External"/><Relationship Id="rIdcjn0i-3_zant0b9nn9w69" Type="http://schemas.openxmlformats.org/officeDocument/2006/relationships/hyperlink" Target="https://dalil.kg/document/1505" TargetMode="External"/><Relationship Id="rIdmi54rkkchmkrsewoadpbh" Type="http://schemas.openxmlformats.org/officeDocument/2006/relationships/hyperlink" Target="https://dalil.kg/document/1505" TargetMode="External"/><Relationship Id="rIdmthwnr9vx8uroju17jar7" Type="http://schemas.openxmlformats.org/officeDocument/2006/relationships/hyperlink" Target="https://dalil.kg/document/1505" TargetMode="External"/><Relationship Id="rIdtysai9pqiiyqswp8ilocm" Type="http://schemas.openxmlformats.org/officeDocument/2006/relationships/hyperlink" Target="https://dalil.kg/document/1505" TargetMode="External"/><Relationship Id="rIdtuuxhcfnuyy8xrvn1bqu9" Type="http://schemas.openxmlformats.org/officeDocument/2006/relationships/hyperlink" Target="https://dalil.kg/document/1505" TargetMode="External"/><Relationship Id="rIdrharjzgyh8dj0f-xy13bk" Type="http://schemas.openxmlformats.org/officeDocument/2006/relationships/hyperlink" Target="https://dalil.kg/document/202913" TargetMode="External"/><Relationship Id="rIdajk1vl5af-nta9thpu8hl" Type="http://schemas.openxmlformats.org/officeDocument/2006/relationships/hyperlink" Target="https://dalil.kg/document/203685" TargetMode="External"/><Relationship Id="rIdxwa-f14jxgfihfxovvqje" Type="http://schemas.openxmlformats.org/officeDocument/2006/relationships/hyperlink" Target="https://dalil.kg/document/203685" TargetMode="External"/><Relationship Id="rIdvygmd7gh2ov_7o5yewtfc" Type="http://schemas.openxmlformats.org/officeDocument/2006/relationships/hyperlink" Target="https://dalil.kg/document/202445" TargetMode="External"/><Relationship Id="rIdc1uizkwu6ehjuzn8mnxh3" Type="http://schemas.openxmlformats.org/officeDocument/2006/relationships/hyperlink" Target="https://dalil.kg/document/202445" TargetMode="External"/><Relationship Id="rIdb2cw7maba8j9whklutxf6" Type="http://schemas.openxmlformats.org/officeDocument/2006/relationships/hyperlink" Target="https://dalil.kg/document/202445" TargetMode="External"/><Relationship Id="rIdthx6krpako_k5xbhq2g4u" Type="http://schemas.openxmlformats.org/officeDocument/2006/relationships/hyperlink" Target="https://dalil.kg/document/1216" TargetMode="External"/><Relationship Id="rIdfcou9paciqoh7emalljw9" Type="http://schemas.openxmlformats.org/officeDocument/2006/relationships/hyperlink" Target="https://dalil.kg/document/1216" TargetMode="External"/><Relationship Id="rId4wceakvbzydasrav_fooe" Type="http://schemas.openxmlformats.org/officeDocument/2006/relationships/hyperlink" Target="https://dalil.kg/document/202591" TargetMode="External"/><Relationship Id="rIdrovshrlr858-ybjjxss39" Type="http://schemas.openxmlformats.org/officeDocument/2006/relationships/hyperlink" Target="https://dalil.kg/document/202591" TargetMode="External"/><Relationship Id="rIdqu3ooz7rapi_wjfpwndme" Type="http://schemas.openxmlformats.org/officeDocument/2006/relationships/hyperlink" Target="https://dalil.kg/document/76491" TargetMode="External"/><Relationship Id="rId35nret8betmq7yp_etb3x" Type="http://schemas.openxmlformats.org/officeDocument/2006/relationships/hyperlink" Target="https://dalil.kg/document/76490" TargetMode="External"/><Relationship Id="rId8" Type="http://schemas.openxmlformats.org/officeDocument/2006/relationships/image" Target="media/8de64316e95979c063c17bcd5380dc052a2594e9.png"/><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djypqaedzuzrgudmpvcf" Type="http://schemas.openxmlformats.org/officeDocument/2006/relationships/hyperlink" Target="https://dalil.kg/document/157250" TargetMode="External"/><Relationship Id="rIdawqyaren86xeluqgqh8b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2026-10-01T08:47:59.902Z</dcterms:created>
  <dcterms:modified xsi:type="dcterms:W3CDTF">2026-10-01T08:47:59.902Z</dcterms:modified>
</cp:coreProperties>
</file>

<file path=docProps/custom.xml><?xml version="1.0" encoding="utf-8"?>
<Properties xmlns="http://schemas.openxmlformats.org/officeDocument/2006/custom-properties" xmlns:vt="http://schemas.openxmlformats.org/officeDocument/2006/docPropsVTypes"/>
</file>