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qsdfbd7rg6pplfzrcclb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22 ноября 2019 года № 623</w:t>
      </w:r>
    </w:p>
    <w:p>
      <w:pPr>
        <w:spacing w:after="400" w:before="400"/>
        <w:jc w:val="center"/>
      </w:pPr>
      <w:r>
        <w:rPr>
          <w:rFonts w:ascii="Arial" w:cs="Arial" w:eastAsia="Arial" w:hAnsi="Arial"/>
          <w:b/>
          <w:bCs/>
          <w:sz w:val="28"/>
          <w:szCs w:val="28"/>
        </w:rPr>
        <w:t xml:space="preserve">О проекте Закона Кыргызской Республики "О внесении изменений в некоторые законодательные акты Кыргызской Республики (в Кодекс Кыргызской Республики о нарушениях, Кодекс Кыргызской Республики о проступках)"</w:t>
      </w:r>
    </w:p>
    <w:p>
      <w:pPr>
        <w:spacing w:after="60"/>
        <w:ind w:firstLine="56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hyperlink w:history="1" r:id="rIdcsn9v5n3v-gmfw3i8hhr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Одобрить </w:t>
      </w:r>
      <w:hyperlink w:history="1" r:id="rIdxjwfjcg6t-bc8sn8ugfy3">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w:t>
      </w:r>
      <w:hyperlink w:history="1" r:id="rIda11fuhc5oxbyivwiqpfga">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нарушениях, </w:t>
      </w:r>
      <w:hyperlink w:history="1" r:id="rIdekbks-j5mt-jxvcwwewz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проступках)".</w:t>
      </w:r>
    </w:p>
    <w:p>
      <w:pPr>
        <w:spacing w:after="60"/>
        <w:ind w:firstLine="567"/>
        <w:jc w:val="both"/>
      </w:pPr>
      <w:r>
        <w:rPr>
          <w:rFonts w:ascii="Arial" w:cs="Arial" w:eastAsia="Arial" w:hAnsi="Arial"/>
          <w:sz w:val="24"/>
          <w:szCs w:val="24"/>
        </w:rPr>
        <w:t xml:space="preserve">2. Внести указанный проект Закона на рассмотрение в Жогорку Кенеш Кыргызской Республики.</w:t>
      </w:r>
    </w:p>
    <w:p>
      <w:pPr>
        <w:spacing w:after="60"/>
        <w:ind w:firstLine="567"/>
        <w:jc w:val="both"/>
      </w:pPr>
      <w:r>
        <w:rPr>
          <w:rFonts w:ascii="Arial" w:cs="Arial" w:eastAsia="Arial" w:hAnsi="Arial"/>
          <w:sz w:val="24"/>
          <w:szCs w:val="24"/>
        </w:rPr>
        <w:t xml:space="preserve">3.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проекта Закона Жогорку Кенешем Кыргызской Республики.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РЕПУБЛИКИ</w:t>
      </w:r>
    </w:p>
    <w:p>
      <w:pPr>
        <w:spacing w:after="400" w:before="400"/>
        <w:jc w:val="center"/>
      </w:pPr>
      <w:r>
        <w:rPr>
          <w:rFonts w:ascii="Arial" w:cs="Arial" w:eastAsia="Arial" w:hAnsi="Arial"/>
          <w:b/>
          <w:bCs/>
          <w:sz w:val="32"/>
          <w:szCs w:val="32"/>
        </w:rPr>
        <w:t xml:space="preserve">О внесении изменений в некоторые законодательные акты Кыргызской Республики (в Кодекс Кыргызской Республики о нарушениях, Кодекс Кыргызской Республики о проступках)</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Кодекс Кыргызской Республики о нарушениях (Ведомости Жогорку Кенеша Кыргызской Республики, 2017 г., № 4, ст.285) следующие изменения:</w:t>
      </w:r>
    </w:p>
    <w:p>
      <w:pPr>
        <w:spacing w:after="60"/>
        <w:ind w:firstLine="567"/>
        <w:jc w:val="both"/>
      </w:pPr>
      <w:r>
        <w:rPr>
          <w:rFonts w:ascii="Arial" w:cs="Arial" w:eastAsia="Arial" w:hAnsi="Arial"/>
          <w:sz w:val="24"/>
          <w:szCs w:val="24"/>
        </w:rPr>
        <w:t xml:space="preserve">1) часть 4 статьи 121 изложить в следующей редакции:</w:t>
      </w:r>
    </w:p>
    <w:p>
      <w:pPr>
        <w:spacing w:after="60"/>
        <w:ind w:firstLine="567"/>
        <w:jc w:val="both"/>
      </w:pPr>
      <w:r>
        <w:rPr>
          <w:rFonts w:ascii="Arial" w:cs="Arial" w:eastAsia="Arial" w:hAnsi="Arial"/>
          <w:sz w:val="24"/>
          <w:szCs w:val="24"/>
        </w:rPr>
        <w:t xml:space="preserve">"4. Управление транспортным средством с отсутствующими государственными регистрационными номерными знаками (знаком), а равно управление транспортным средством с государственными регистрационными номерными знаками с применением устройств и материалов, препятствующих идентификации государственных регистрационных номерных знаков (знака) либо позволяющих их видоизменить или скрыть, -</w:t>
      </w:r>
    </w:p>
    <w:p>
      <w:pPr>
        <w:spacing w:after="60"/>
        <w:ind w:firstLine="567"/>
        <w:jc w:val="both"/>
      </w:pPr>
      <w:r>
        <w:rPr>
          <w:rFonts w:ascii="Arial" w:cs="Arial" w:eastAsia="Arial" w:hAnsi="Arial"/>
          <w:sz w:val="24"/>
          <w:szCs w:val="24"/>
        </w:rPr>
        <w:t xml:space="preserve">влечет наложение штрафа 5 категории.";</w:t>
      </w:r>
    </w:p>
    <w:p>
      <w:pPr>
        <w:spacing w:after="60"/>
        <w:ind w:firstLine="567"/>
        <w:jc w:val="both"/>
      </w:pPr>
      <w:r>
        <w:rPr>
          <w:rFonts w:ascii="Arial" w:cs="Arial" w:eastAsia="Arial" w:hAnsi="Arial"/>
          <w:sz w:val="24"/>
          <w:szCs w:val="24"/>
        </w:rPr>
        <w:t xml:space="preserve">2) статью 123-1 изложить в следующей редакции:</w:t>
      </w:r>
    </w:p>
    <w:p>
      <w:pPr>
        <w:spacing w:after="60"/>
        <w:ind w:firstLine="567"/>
        <w:jc w:val="both"/>
      </w:pPr>
      <w:r>
        <w:rPr>
          <w:rFonts w:ascii="Arial" w:cs="Arial" w:eastAsia="Arial" w:hAnsi="Arial"/>
          <w:sz w:val="24"/>
          <w:szCs w:val="24"/>
        </w:rPr>
        <w:t xml:space="preserve">"Статья 123-1. Нарушение правил дорожного движения водителями транспортных средств</w:t>
      </w:r>
    </w:p>
    <w:p>
      <w:pPr>
        <w:spacing w:after="60"/>
        <w:ind w:firstLine="567"/>
        <w:jc w:val="both"/>
      </w:pPr>
      <w:r>
        <w:rPr>
          <w:rFonts w:ascii="Arial" w:cs="Arial" w:eastAsia="Arial" w:hAnsi="Arial"/>
          <w:sz w:val="24"/>
          <w:szCs w:val="24"/>
        </w:rPr>
        <w:t xml:space="preserve">1. Невыполнение требований дорожных знаков, невыполнение требований разметки проезжей части дороги (за исключением нарушений правил обгона или маневрирования с выездом на полосу встречного движения), нарушение правил остановки или стоянки; несоблюдение безопасной дистанции, интервала либо нарушение расположения транспортных средств на проезжей части, или нарушение правил движения по автомагистралям; невыполнение требований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нарушение правил обгона или маневрирования без выезда на полосу встречного движения; нарушение правил пользования внешними осветительными приборами либо предупредительными сигналами, -</w:t>
      </w:r>
    </w:p>
    <w:p>
      <w:pPr>
        <w:spacing w:after="60"/>
        <w:ind w:firstLine="567"/>
        <w:jc w:val="both"/>
      </w:pPr>
      <w:r>
        <w:rPr>
          <w:rFonts w:ascii="Arial" w:cs="Arial" w:eastAsia="Arial" w:hAnsi="Arial"/>
          <w:sz w:val="24"/>
          <w:szCs w:val="24"/>
        </w:rPr>
        <w:t xml:space="preserve">влекут наложение штрафа 1 категории.</w:t>
      </w:r>
    </w:p>
    <w:p>
      <w:pPr>
        <w:spacing w:after="60"/>
        <w:ind w:firstLine="567"/>
        <w:jc w:val="both"/>
      </w:pPr>
      <w:r>
        <w:rPr>
          <w:rFonts w:ascii="Arial" w:cs="Arial" w:eastAsia="Arial" w:hAnsi="Arial"/>
          <w:sz w:val="24"/>
          <w:szCs w:val="24"/>
        </w:rPr>
        <w:t xml:space="preserve">2. Нарушение требований по перевозке детей, установленных Правилами дорожного движения; нарушение водителем транспортного средства правил проезда перекрестков или проезд на запрещающий сигнал светофора, либо запрещающий жест регулировщика; нарушение правил остановки или стоянки на полосе для маршрутных транспортных средств; нарушение правил учебной езды; нарушение правил проезда пешеходных переходов, непредоставление преимущества в движении пешеходам на пешеходных переходах, а равно движение по тротуарам либо пешеходным, или велосипедным дорожкам; нарушение правил перевозки грузов либо буксирования транспортных средств; нарушение правил пользования средствами связи водителем во время движения транспортного средства, не оборудованными техническими устройствами, позволяющими вести переговоры без помощи рук (за исключением водителей специальных транспортных средств во время выполнения ими неотложных служебных задач); выброс (оставление, складирование, сжигание) мусора и иных предметов на автомобильных дорогах водителями, пассажирами или иными участниками дорожного движения, -</w:t>
      </w:r>
    </w:p>
    <w:p>
      <w:pPr>
        <w:spacing w:after="60"/>
        <w:ind w:firstLine="567"/>
        <w:jc w:val="both"/>
      </w:pPr>
      <w:r>
        <w:rPr>
          <w:rFonts w:ascii="Arial" w:cs="Arial" w:eastAsia="Arial" w:hAnsi="Arial"/>
          <w:sz w:val="24"/>
          <w:szCs w:val="24"/>
        </w:rPr>
        <w:t xml:space="preserve">влекут наложение штрафа 2 категории.</w:t>
      </w:r>
    </w:p>
    <w:p>
      <w:pPr>
        <w:spacing w:after="60"/>
        <w:ind w:firstLine="567"/>
        <w:jc w:val="both"/>
      </w:pPr>
      <w:r>
        <w:rPr>
          <w:rFonts w:ascii="Arial" w:cs="Arial" w:eastAsia="Arial" w:hAnsi="Arial"/>
          <w:sz w:val="24"/>
          <w:szCs w:val="24"/>
        </w:rPr>
        <w:t xml:space="preserve">3. Нарушение правил обгона или маневрирования с выездом на полосу встречного движения; непредоставление преимущества транспортным средствам общего пользования, в том числе нарушение правил проезда остановок транспортных средств общего пользования; переоборудование, а равно установка оборудования для усиления уровня звука (шума) системы выпуска отработавших газов от двигателя, -</w:t>
      </w:r>
    </w:p>
    <w:p>
      <w:pPr>
        <w:spacing w:after="60"/>
        <w:ind w:firstLine="567"/>
        <w:jc w:val="both"/>
      </w:pPr>
      <w:r>
        <w:rPr>
          <w:rFonts w:ascii="Arial" w:cs="Arial" w:eastAsia="Arial" w:hAnsi="Arial"/>
          <w:sz w:val="24"/>
          <w:szCs w:val="24"/>
        </w:rPr>
        <w:t xml:space="preserve">влекут наложение штрафа 3 категории.</w:t>
      </w:r>
    </w:p>
    <w:p>
      <w:pPr>
        <w:spacing w:after="60"/>
        <w:ind w:firstLine="567"/>
        <w:jc w:val="both"/>
      </w:pPr>
      <w:r>
        <w:rPr>
          <w:rFonts w:ascii="Arial" w:cs="Arial" w:eastAsia="Arial" w:hAnsi="Arial"/>
          <w:sz w:val="24"/>
          <w:szCs w:val="24"/>
        </w:rPr>
        <w:t xml:space="preserve">4. Непредоставление преимущества в движении транспортным средствам с включенными специальными световыми и звуковыми сигнальными устройствами, -</w:t>
      </w:r>
    </w:p>
    <w:p>
      <w:pPr>
        <w:spacing w:after="60"/>
        <w:ind w:firstLine="567"/>
        <w:jc w:val="both"/>
      </w:pPr>
      <w:r>
        <w:rPr>
          <w:rFonts w:ascii="Arial" w:cs="Arial" w:eastAsia="Arial" w:hAnsi="Arial"/>
          <w:sz w:val="24"/>
          <w:szCs w:val="24"/>
        </w:rPr>
        <w:t xml:space="preserve">влечет наложение штрафа 5 категории.</w:t>
      </w:r>
    </w:p>
    <w:p>
      <w:pPr>
        <w:spacing w:after="60"/>
        <w:ind w:firstLine="567"/>
        <w:jc w:val="both"/>
      </w:pPr>
      <w:r>
        <w:rPr>
          <w:rFonts w:ascii="Arial" w:cs="Arial" w:eastAsia="Arial" w:hAnsi="Arial"/>
          <w:sz w:val="24"/>
          <w:szCs w:val="24"/>
        </w:rPr>
        <w:t xml:space="preserve">Примечание: участники дорожного движения обязаны подчиняться требованиям сигналов и распоряжений регулировщика независимо от его местоположения на дороге, а также независимо от требований сигналов светофора, дорожных знаков либо линий дорожной разметки. Водители транспортных средств оперативных и специальных служб с включенными проблесковыми маячками, выполняя неотложное служебное задание, могут отступать от требования настоящей статьи (кроме сигналов регулировщика). Данным приоритетом при движении они могут воспользоваться только убедившись, что им уступают дорогу.".</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Кодекс Кыргызской Республики о проступках (Газета "Эркин Тоо" от 8 февраля 2017 года № 17-18) следующее изменение:</w:t>
      </w:r>
    </w:p>
    <w:p>
      <w:pPr>
        <w:spacing w:after="60"/>
        <w:ind w:firstLine="567"/>
        <w:jc w:val="both"/>
      </w:pPr>
      <w:r>
        <w:rPr>
          <w:rFonts w:ascii="Arial" w:cs="Arial" w:eastAsia="Arial" w:hAnsi="Arial"/>
          <w:sz w:val="24"/>
          <w:szCs w:val="24"/>
        </w:rPr>
        <w:t xml:space="preserve">статью 173 изложить в следующей редакции:</w:t>
      </w:r>
    </w:p>
    <w:p>
      <w:pPr>
        <w:spacing w:after="60"/>
        <w:ind w:firstLine="567"/>
        <w:jc w:val="both"/>
      </w:pPr>
      <w:r>
        <w:rPr>
          <w:rFonts w:ascii="Arial" w:cs="Arial" w:eastAsia="Arial" w:hAnsi="Arial"/>
          <w:sz w:val="24"/>
          <w:szCs w:val="24"/>
        </w:rPr>
        <w:t xml:space="preserve">"Статья 173. Подделка или уничтожение идентификационного номера транспортного средства</w:t>
      </w:r>
    </w:p>
    <w:p>
      <w:pPr>
        <w:spacing w:after="60"/>
        <w:ind w:firstLine="567"/>
        <w:jc w:val="both"/>
      </w:pPr>
      <w:r>
        <w:rPr>
          <w:rFonts w:ascii="Arial" w:cs="Arial" w:eastAsia="Arial" w:hAnsi="Arial"/>
          <w:sz w:val="24"/>
          <w:szCs w:val="24"/>
        </w:rPr>
        <w:t xml:space="preserve">1. Управление транспортным средством с подложными или поддельными государственными регистрационными номерными знаками (знаком), -</w:t>
      </w:r>
    </w:p>
    <w:p>
      <w:pPr>
        <w:spacing w:after="60"/>
        <w:ind w:firstLine="567"/>
        <w:jc w:val="both"/>
      </w:pPr>
      <w:r>
        <w:rPr>
          <w:rFonts w:ascii="Arial" w:cs="Arial" w:eastAsia="Arial" w:hAnsi="Arial"/>
          <w:sz w:val="24"/>
          <w:szCs w:val="24"/>
        </w:rPr>
        <w:t xml:space="preserve">влечет наказание в виде штрафа I категории.</w:t>
      </w:r>
    </w:p>
    <w:p>
      <w:pPr>
        <w:spacing w:after="60"/>
        <w:ind w:firstLine="567"/>
        <w:jc w:val="both"/>
      </w:pPr>
      <w:r>
        <w:rPr>
          <w:rFonts w:ascii="Arial" w:cs="Arial" w:eastAsia="Arial" w:hAnsi="Arial"/>
          <w:sz w:val="24"/>
          <w:szCs w:val="24"/>
        </w:rPr>
        <w:t xml:space="preserve">2. Подделка или уничтожение идентификационного номера, номера кузова, шасси, а равно подделка государственного регистрационного знака транспортного средства, -</w:t>
      </w:r>
    </w:p>
    <w:p>
      <w:pPr>
        <w:spacing w:after="60"/>
        <w:ind w:firstLine="567"/>
        <w:jc w:val="both"/>
      </w:pPr>
      <w:r>
        <w:rPr>
          <w:rFonts w:ascii="Arial" w:cs="Arial" w:eastAsia="Arial" w:hAnsi="Arial"/>
          <w:sz w:val="24"/>
          <w:szCs w:val="24"/>
        </w:rPr>
        <w:t xml:space="preserve">влекут наказание в виде штрафа </w:t>
      </w:r>
      <w:r>
        <w:rPr>
          <w:rFonts w:ascii="Arial" w:cs="Arial" w:eastAsia="Arial" w:hAnsi="Arial"/>
          <w:sz w:val="24"/>
          <w:szCs w:val="24"/>
        </w:rPr>
        <w:t xml:space="preserve">II</w:t>
      </w:r>
      <w:r>
        <w:rPr>
          <w:rFonts w:ascii="Arial" w:cs="Arial" w:eastAsia="Arial" w:hAnsi="Arial"/>
          <w:sz w:val="24"/>
          <w:szCs w:val="24"/>
        </w:rPr>
        <w:t xml:space="preserve"> категории.".</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3xi8exthuexueeoqurbi">
      <w:r>
        <w:rPr>
          <w:rFonts w:ascii="Arial" w:cs="Arial" w:eastAsia="Arial" w:hAnsi="Arial"/>
          <w:color w:val="132D3F"/>
          <w:sz w:val="16"/>
          <w:szCs w:val="16"/>
          <w:u w:val="single"/>
        </w:rPr>
        <w:t xml:space="preserve">dalil.kg/document/157268</w:t>
      </w:r>
    </w:hyperlink>
  </w:p>
  <w:p>
    <w:pPr>
      <w:spacing w:after="0" w:before="40"/>
      <w:jc w:val="center"/>
    </w:pPr>
    <w:hyperlink w:history="1" r:id="rIdkp4zqddyqrzgpsyny99q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sdfbd7rg6pplfzrcclbz" Type="http://schemas.openxmlformats.org/officeDocument/2006/relationships/hyperlink" Target="https://dalil.kg/document/159885" TargetMode="External"/><Relationship Id="rIdcsn9v5n3v-gmfw3i8hhri" Type="http://schemas.openxmlformats.org/officeDocument/2006/relationships/hyperlink" Target="https://dalil.kg/document/202913" TargetMode="External"/><Relationship Id="rIdxjwfjcg6t-bc8sn8ugfy3" Type="http://schemas.openxmlformats.org/officeDocument/2006/relationships/hyperlink" Target="https://dalil.kg/document/157268#p1" TargetMode="External"/><Relationship Id="rIda11fuhc5oxbyivwiqpfga" Type="http://schemas.openxmlformats.org/officeDocument/2006/relationships/hyperlink" Target="https://dalil.kg/document/111565" TargetMode="External"/><Relationship Id="rIdekbks-j5mt-jxvcwwewzq" Type="http://schemas.openxmlformats.org/officeDocument/2006/relationships/hyperlink" Target="https://dalil.kg/document/11152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3xi8exthuexueeoqurbi" Type="http://schemas.openxmlformats.org/officeDocument/2006/relationships/hyperlink" Target="https://dalil.kg/document/157268" TargetMode="External"/><Relationship Id="rIdkp4zqddyqrzgpsyny99q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2026-09-25T02:22:02.376Z</dcterms:created>
  <dcterms:modified xsi:type="dcterms:W3CDTF">2026-09-25T02:22:02.376Z</dcterms:modified>
</cp:coreProperties>
</file>

<file path=docProps/custom.xml><?xml version="1.0" encoding="utf-8"?>
<Properties xmlns="http://schemas.openxmlformats.org/officeDocument/2006/custom-properties" xmlns:vt="http://schemas.openxmlformats.org/officeDocument/2006/docPropsVTypes"/>
</file>