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января 2020 года № 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культивировании грецкого ореха в Кыргызской Республике"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l84csb-zesykmcpegww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ecdknhgwc6hs1nl9qdt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культивировании грецкого ореха в Кыргызской Республике", инициированный депутатами Жогорку Кенеша Кыргызской Республики Бакировым М.И., Джумабековым Д.А., Торобаевым Б.Э., Жээнбековым А.Ш., Узакбаевым А.О., Туманбаевой P.M., Эргешовым А.М., Масабировым Т.А., Алтынбековым А. и Жунус уулу 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Одобрено</w:t>
      </w:r>
      <w:r>
        <w:rPr>
          <w:rFonts w:ascii="Arial" w:cs="Arial" w:eastAsia="Arial" w:hAnsi="Arial"/>
          <w:sz w:val="24"/>
          <w:szCs w:val="24"/>
        </w:rPr>
        <w:t xml:space="preserve">
 постановлением Правительства
 Кыргызской Республики
 от 23 января 2020 года № 23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Правительства Кыргызской Республики на проект Закона Кыргызской Республики "О культивировании грецкого ореха в Кыргызской Республике"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hyperlink w:history="1" r:id="rIdgqjmr19ctondznae62g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рассмотрев проект Закона Кыргызской Республики "О культивировании грецкого ореха в Кыргызской Республике" (далее - проект Закона), инициированный депутатами Жогорку Кенеша Кыргызской Республики Бакировым М.И., Джумабековым Д.А., Торобаевым Б.Э., Жээнбековым А.Ш., Узакбаевым А.О., Туманбаевой P.M., Эргешовым А.М., Масабировым Т.А., Алтынбековым А. и Жунус уулу А., приходит к следующему заключению.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пункте 1 статьи 1 проекта Закона указывается, что законопроект направлен на регулирование деятельности, связанной с культивированием грецкого ореха, в том числе производством, сбором, использованием плодов и производной продукции, древесины и посадочного материала, на землях, находящихся вне территории государственного лесного фонда.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орехово-плодовые леса в Кыргызской Республике расположены также на землях особо охраняемых природных территорий Кыргызской Республики, правовые отношения, связанные с их охраной и использованием, регулируются </w:t>
      </w:r>
      <w:hyperlink w:history="1" r:id="rIdmrt9de5w40mptunxrrh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 Кыргызской Республики" и другими нормативными правовыми актами в сфере регулирования особо охраняемых природных территорий.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общепринятой практике термин "культивирование" означает выращивание, разведение и повышение урожайности культивируемого материала. Вместе с тем, согласно данной статье, деятельность, связанная с культивированием грецкого ореха, включает вопросы, выходящие за рамки понятия "культивирование", такие как: производство, сбор, использование плодов и производной продукции, древесины и посадочного материала.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что, согласно </w:t>
      </w:r>
      <w:hyperlink w:history="1" r:id="rId6abgkbskt5i2s--4eds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запрещении рубки, транспортировки, приобретения и сбыта, заготовки и использования, экспорта особо ценных (ореховых и арчовых) древесных пород в Кыргызской Республике", вводится запрет на рубку, повреждение до степени прекращения роста, транспортировку, приобретение и сбыт, заготовку и использование изделий, экспорт особо ценных (ореховых и арчовых) древесных пород до 2030 года. В этой связи предлагаемая норма в части использования древесины противоречит нормам указанного Закона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2 проекта Закона определены уполномоченные государственные органы, регулирующие вопросы сохранения, развития и роста производственного потенциала грецкого ореха.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статьям </w:t>
      </w:r>
      <w:hyperlink w:history="1" r:id="rIdwjyxzryitl4ws_nst5j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owjpp2mgqjeqqq6asw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распределение функций между государственными органами, подчиненными Правительству Кыргызской Республики, является полномочием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Статья 6 проекта Закона содержит бланкетную ссылку на законодательство в целом, что не соответствует пункту 78 </w:t>
      </w:r>
      <w:hyperlink w:history="1" r:id="rIdkialrublnakz400pt7g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r71omu0l8zcrsh-b3ls9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5389-V, согласно которому бланкетные ссылки на законодательство в целом не допускаются. В этой связи статью 6 проекта Закона необходимо привести в соответствие с пунктом 78 указанной </w:t>
      </w:r>
      <w:hyperlink w:history="1" r:id="rIdln2u3cubgijs7li2vfx6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Статьей 7 проекта Закона определяются собственники плантаций грецкого ореха, расположенных на землях государственной, муниципальной и частной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в соответствии со статьей 1 проекта Закона, его действие не распространяется на регулирование деятельности, связанной с культивированием грецкого ореха на землях государственного лесного фонда. В связи с чем, учитывая, что земли государственного лесного фонда и особо охраняемых природных территорий также являются государственной собственностью, в целях недопущения коллизий в законодательстве необходимо разграничить права собственности на плантации грецкого ореха, расположенные на землях государственной собственности, в соответствии с категориями земель согласно Земельному </w:t>
      </w:r>
      <w:hyperlink w:history="1" r:id="rIdcao4x_sopd6ea9f6oon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Статьей 8 проекта Закона предусмотрено, что государственные органы содействуют производству и реализации плодов грецкого ореха, обеспечивая производителей необходимой информацией, регулируя экспорт плодов, ценообразование и налогообложение.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tibvncxoinufj91p_kn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 отношения по установлению, введению в действие и взиманию налогов в Кыргызской Республике регулируются Налоговым кодексом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6 </w:t>
      </w:r>
      <w:hyperlink w:history="1" r:id="rIdeb9azqejpmq7yc0os8j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Налогового кодекса Кыргызской Республики, запрещается включать в законодательство, не являющееся налоговым законодательством Кыргызской Республики, нормы, регулирующие налоговые правоотношения.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</w:t>
      </w:r>
      <w:hyperlink w:history="1" r:id="rIdlx1mtrhbas-fvgqocl-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регулировании цен на отдельные виды социально значимых товаров" от 22 апреля 2009 года № 242 утвержден перечень социально значимых товаров, на которые может быть введено временное государственное регулирование цен на внутреннем рынке Кыргызской Республики. При этом, плоды грецкого ореха в указанный перечень не входят.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Статьей 9 проекта Закона предусмотрено финансирование мероприятий по культивированию грецкого ореха за счет республиканского и местных бюджетов.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26 </w:t>
      </w:r>
      <w:hyperlink w:history="1" r:id="rIdhlge4ols9g1ue2lqiem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нормативные правовые акты, реализация которых влечет финансирование из государственного бюджета, не подлежат принятию до определения по ним источника финансирования, а также справка-обоснование проекта такого акта должна содержать информацию по наличию источников его финансирования.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тем, справка-обоснование к проекту Закона не содержит соответствующей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соответствии с </w:t>
      </w:r>
      <w:hyperlink w:history="1" r:id="rIdtwkpw557ukdxx2bskre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 нормативных правовых актов на деятельность субъектов предпринимательства, утвержденной </w:t>
      </w:r>
      <w:hyperlink w:history="1" r:id="rIdrklolg0whlsbj5hkhoe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сентября 2014 года № 559, одной из основных норм, устанавливающих порядок проведения анализа регулятивного воздействия, является участие заинтересованных сторон (юридические и физические лица и их объединения, государственные органы и органы местного самоуправления), на которых воздействуют изучаемые проблемы и/или предлагаемое государственное регулирование.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к проекту Закона не представлена аналитическая записка, подготовленная на основе анализа регулятивного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подготовить аналитическую записку к проекту Закона, руководствуясь вышеуказанной </w:t>
      </w:r>
      <w:hyperlink w:history="1" r:id="rIdcrt_kbygqbbp4eaoe3x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Методикой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анализа регулятивного воздействия.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Проект Закона содержит нормы, касающиеся компетенции органов местного самоуправления и затрагивает интересы местных сообществ и айылных аймаков.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Следует отметить, что согласно статье 21 </w:t>
      </w:r>
      <w:hyperlink w:history="1" r:id="rIddfrs47mthsz3cd6eoon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Республики", при подготовке проектов нормативных правовых актов, непосредственно затрагивающих интересы местных сообществ и органов местного самоуправления, проект нормативного правового акта в обязательном порядке подлежит согласованию с ассоциациями, союзами органов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согласно статье 25 указанного </w:t>
      </w:r>
      <w:hyperlink w:history="1" r:id="rIdlv031abjjibneibaqa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сведения о результатах консультаций и обсуждений с соответствующими ассоциациями, союзами органов местного самоуправления должны быть отражены в справке-обосновании к проекту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Однако справка-обоснование к проекту Закона не содержит вышеуказанной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Кроме того, </w:t>
      </w:r>
      <w:hyperlink w:history="1" r:id="rIdzqsboz3ps7iqhusbsca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определяет принципы нормотворческой деятельности, устанавливает понятия и виды нормативных правовых актов, их соотношение между собой, порядок их подготовки, принятия, опубликования, а также правила их действия, толкования и разрешения коллизий.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4 указанного Закона, под законом понимается нормативный правовой акт, принимаемый Жогорку Кенешем в установленном порядке и регулирующий наиболее важные общественные отношения в соответствующей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правовые основы для обеспечения эффективной охраны, рационального использования и воспроизводства ресурсов растительного мира устанавливаются </w:t>
      </w:r>
      <w:hyperlink w:history="1" r:id="rIde1rddqg60jmnpxpmfgz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и использовании растительного мира".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указанного Закона, грецкий орех является объектом растительного мира и природных растительных ресурсов и его охрана, рациональное использование и воспроизводство должны регулироваться указанным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чем необходимо определить необходимость принятия представленного проекта Закона в виде отдельного нормативного правового акта, путем проведения анализа действующего законодательства в данной сфере.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проекта Закона Кыргызской Республики, с учетом замечаний и предложений, отраженных в настоящем заключении.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710htyf2aj6rktph0ix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dalil.kg/document/157431</w:t>
      </w:r>
    </w:hyperlink>
  </w:p>
  <w:p>
    <w:pPr>
      <w:spacing w:after="0" w:before="40"/>
      <w:jc w:val="center"/>
    </w:pPr>
    <w:hyperlink w:history="1" r:id="rIdzxy03mcqgzemtvxha8rf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84csb-zesykmcpegwwhw" Type="http://schemas.openxmlformats.org/officeDocument/2006/relationships/hyperlink" Target="https://dalil.kg/document/203685#st_31" TargetMode="External"/><Relationship Id="rIdecdknhgwc6hs1nl9qdtgu" Type="http://schemas.openxmlformats.org/officeDocument/2006/relationships/hyperlink" Target="https://dalil.kg/document/157431#pr" TargetMode="External"/><Relationship Id="rIdgqjmr19ctondznae62giw" Type="http://schemas.openxmlformats.org/officeDocument/2006/relationships/hyperlink" Target="https://dalil.kg/document/203685#st_31" TargetMode="External"/><Relationship Id="rIdmrt9de5w40mptunxrrhjm" Type="http://schemas.openxmlformats.org/officeDocument/2006/relationships/hyperlink" Target="https://dalil.kg/document/203262" TargetMode="External"/><Relationship Id="rId6abgkbskt5i2s--4edsar" Type="http://schemas.openxmlformats.org/officeDocument/2006/relationships/hyperlink" Target="https://dalil.kg/document/202049#st_1" TargetMode="External"/><Relationship Id="rIdwjyxzryitl4ws_nst5jzj" Type="http://schemas.openxmlformats.org/officeDocument/2006/relationships/hyperlink" Target="https://dalil.kg/document/203685#st_10" TargetMode="External"/><Relationship Id="rIdbowjpp2mgqjeqqq6aswyj" Type="http://schemas.openxmlformats.org/officeDocument/2006/relationships/hyperlink" Target="https://dalil.kg/document/203685#st_11" TargetMode="External"/><Relationship Id="rIdkialrublnakz400pt7gjj" Type="http://schemas.openxmlformats.org/officeDocument/2006/relationships/hyperlink" Target="https://dalil.kg/document/76491" TargetMode="External"/><Relationship Id="rIdr71omu0l8zcrsh-b3ls9w" Type="http://schemas.openxmlformats.org/officeDocument/2006/relationships/hyperlink" Target="https://dalil.kg/document/76490" TargetMode="External"/><Relationship Id="rIdln2u3cubgijs7li2vfx6t" Type="http://schemas.openxmlformats.org/officeDocument/2006/relationships/hyperlink" Target="https://dalil.kg/document/76491" TargetMode="External"/><Relationship Id="rIdcao4x_sopd6ea9f6oonwk" Type="http://schemas.openxmlformats.org/officeDocument/2006/relationships/hyperlink" Target="https://dalil.kg/document/8" TargetMode="External"/><Relationship Id="rIdtibvncxoinufj91p_kn9c" Type="http://schemas.openxmlformats.org/officeDocument/2006/relationships/hyperlink" Target="https://dalil.kg/document/202445#st_1" TargetMode="External"/><Relationship Id="rIdeb9azqejpmq7yc0os8jyk" Type="http://schemas.openxmlformats.org/officeDocument/2006/relationships/hyperlink" Target="https://dalil.kg/document/202445#st_5" TargetMode="External"/><Relationship Id="rIdlx1mtrhbas-fvgqocl-aq" Type="http://schemas.openxmlformats.org/officeDocument/2006/relationships/hyperlink" Target="https://dalil.kg/document/59697" TargetMode="External"/><Relationship Id="rIdhlge4ols9g1ue2lqiemb4" Type="http://schemas.openxmlformats.org/officeDocument/2006/relationships/hyperlink" Target="https://dalil.kg/document/202591" TargetMode="External"/><Relationship Id="rIdtwkpw557ukdxx2bskredi" Type="http://schemas.openxmlformats.org/officeDocument/2006/relationships/hyperlink" Target="https://dalil.kg/document/97019" TargetMode="External"/><Relationship Id="rIdrklolg0whlsbj5hkhoekb" Type="http://schemas.openxmlformats.org/officeDocument/2006/relationships/hyperlink" Target="https://dalil.kg/document/97018" TargetMode="External"/><Relationship Id="rIdcrt_kbygqbbp4eaoe3xf8" Type="http://schemas.openxmlformats.org/officeDocument/2006/relationships/hyperlink" Target="https://dalil.kg/document/97019" TargetMode="External"/><Relationship Id="rIddfrs47mthsz3cd6eoonat" Type="http://schemas.openxmlformats.org/officeDocument/2006/relationships/hyperlink" Target="https://dalil.kg/document/202591" TargetMode="External"/><Relationship Id="rIdlv031abjjibneibaqaywk" Type="http://schemas.openxmlformats.org/officeDocument/2006/relationships/hyperlink" Target="https://dalil.kg/document/202591" TargetMode="External"/><Relationship Id="rIdzqsboz3ps7iqhusbsca5r" Type="http://schemas.openxmlformats.org/officeDocument/2006/relationships/hyperlink" Target="https://dalil.kg/document/202591" TargetMode="External"/><Relationship Id="rIde1rddqg60jmnpxpmfgziz" Type="http://schemas.openxmlformats.org/officeDocument/2006/relationships/hyperlink" Target="https://dalil.kg/document/435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710htyf2aj6rktph0ixf" Type="http://schemas.openxmlformats.org/officeDocument/2006/relationships/hyperlink" Target="https://dalil.kg/document/157431" TargetMode="External"/><Relationship Id="rIdzxy03mcqgzemtvxha8rf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2026-10-01T03:33:55.447Z</dcterms:created>
  <dcterms:modified xsi:type="dcterms:W3CDTF">2026-10-01T03:33:55.447Z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