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15 мая 2020 года № 254</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60"/>
        <w:ind w:firstLine="567"/>
        <w:jc w:val="both"/>
      </w:pPr>
      <w:r>
        <w:rPr>
          <w:rFonts w:ascii="Arial" w:cs="Arial" w:eastAsia="Arial" w:hAnsi="Arial"/>
          <w:sz w:val="24"/>
          <w:szCs w:val="24"/>
        </w:rPr>
        <w:t xml:space="preserve">В соответствии со </w:t>
      </w:r>
      <w:hyperlink w:history="1" r:id="rIdtfmzbsu1tdtrvctiobnhy">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cfex2nfasc0snly95-m5t">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"Об образовании", инициированный депутатом Жогорку Кенеша Кыргызской Республики Бекешевым Д.Д.</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15 мая 2020 года № 254</w:t>
      </w:r>
    </w:p>
    <w:p>
      <w:pPr>
        <w:spacing w:after="120"/>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Заключение</w:t>
      </w:r>
    </w:p>
    <w:p>
      <w:pPr>
        <w:spacing w:after="60" w:before="200"/>
        <w:ind w:firstLine="567"/>
        <w:jc w:val="center"/>
      </w:pPr>
      <w:r>
        <w:rPr>
          <w:rFonts w:ascii="Arial" w:cs="Arial" w:eastAsia="Arial" w:hAnsi="Arial"/>
          <w:b/>
          <w:bCs/>
          <w:sz w:val="32"/>
          <w:szCs w:val="32"/>
        </w:rPr>
        <w:t xml:space="preserve">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pmsz_uyq0zctlgszhfgdx">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конституционною Закона Кыргызской Республики «О Правительстве Кыргызской Республики», рассмотрев проект Закона Кыргызской Республики «О внесении изменений в </w:t>
      </w:r>
      <w:hyperlink w:history="1" r:id="rIdguhprxutnc7vyhwzn5x5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депутатом Жогорку Кенеша Кыргызской Республики Бекешевым Д.Д.. приходит к следующему заключению.</w:t>
      </w:r>
    </w:p>
    <w:p>
      <w:pPr>
        <w:spacing w:after="60"/>
        <w:ind w:firstLine="567"/>
        <w:jc w:val="both"/>
      </w:pPr>
      <w:r>
        <w:rPr>
          <w:rFonts w:ascii="Arial" w:cs="Arial" w:eastAsia="Arial" w:hAnsi="Arial"/>
          <w:sz w:val="24"/>
          <w:szCs w:val="24"/>
        </w:rPr>
        <w:t xml:space="preserve">1. Частью I статьи 1 проекта Закона предлагается в части 4 статьи 14 </w:t>
      </w:r>
      <w:hyperlink w:history="1" r:id="rIdvzqt32y1mbvnwe_1pz_u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слова «Правительством Кыргызской Республики» заменить словами «уполномоченным государственным органом в сфере образования», а также статью 14 дополнить частью 5. в соответствии с которой «во время режима чрезвычайного положения, чрезвычайной ситуации или возникновения обстоятельств непреодолимой силы, образовательные организации по решению уполномоченного государственного органа в области образования обязаны осуществлять образовательную деятельность (полностью или частично) с применением дистанционных образовательных технологий. Уполномоченный государственный орган в области образования вправе продлевать решение о применении образовательными организациями дистанционных образовательных технологий на время предотвращения последствий, возникших в связи в обстоятельствами непреодолимой силы, введением режима чрезвычайного положения и чрезвычайной ситуации.».</w:t>
      </w:r>
    </w:p>
    <w:p>
      <w:pPr>
        <w:spacing w:after="60"/>
        <w:ind w:firstLine="567"/>
        <w:jc w:val="both"/>
      </w:pPr>
      <w:r>
        <w:rPr>
          <w:rFonts w:ascii="Arial" w:cs="Arial" w:eastAsia="Arial" w:hAnsi="Arial"/>
          <w:sz w:val="24"/>
          <w:szCs w:val="24"/>
        </w:rPr>
        <w:t xml:space="preserve">Отмечаем, что согласно статье 2 </w:t>
      </w:r>
      <w:hyperlink w:history="1" r:id="rIdv5c_ujhauwjyk7icu0ne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нормативный правовой акт - это официальный документ установленной формы, принятый в пределах компетенции уполномоченного государственного органа, органа местного самоуправления или путем референдума, направленный на установление, изменение или отмену норм права.</w:t>
      </w:r>
    </w:p>
    <w:p>
      <w:pPr>
        <w:spacing w:after="60"/>
        <w:ind w:firstLine="567"/>
        <w:jc w:val="both"/>
      </w:pPr>
      <w:r>
        <w:rPr>
          <w:rFonts w:ascii="Arial" w:cs="Arial" w:eastAsia="Arial" w:hAnsi="Arial"/>
          <w:sz w:val="24"/>
          <w:szCs w:val="24"/>
        </w:rPr>
        <w:t xml:space="preserve">При этом под нормой права понимаются общеобязательные правила поведения, рассчитанные на неопределенный круг лиц и неоднократное применение.</w:t>
      </w:r>
    </w:p>
    <w:p>
      <w:pPr>
        <w:spacing w:after="60"/>
        <w:ind w:firstLine="567"/>
        <w:jc w:val="both"/>
      </w:pPr>
      <w:r>
        <w:rPr>
          <w:rFonts w:ascii="Arial" w:cs="Arial" w:eastAsia="Arial" w:hAnsi="Arial"/>
          <w:sz w:val="24"/>
          <w:szCs w:val="24"/>
        </w:rPr>
        <w:t xml:space="preserve">Таким образом, порядок использования дистанционных образовательных технологий будет обладать характеристиками нормативного правового акта.</w:t>
      </w:r>
    </w:p>
    <w:p>
      <w:pPr>
        <w:spacing w:after="60"/>
        <w:ind w:firstLine="567"/>
        <w:jc w:val="both"/>
      </w:pPr>
      <w:r>
        <w:rPr>
          <w:rFonts w:ascii="Arial" w:cs="Arial" w:eastAsia="Arial" w:hAnsi="Arial"/>
          <w:sz w:val="24"/>
          <w:szCs w:val="24"/>
        </w:rPr>
        <w:t xml:space="preserve">Согласно статье 5 вышеуказанного Закона правом принимать нормативные правовые акты наделены Президент Кыргызской Республики, Жогорку Кенсш Кыргызской Республики. Правительство Кыргызской Республики, Национальный банк Кыргызской Республики. Центральная избирательная комиссия по выборам и проведению референдумов Кыргызской Республики и представительные органы местного самоуправления, а уполномоченный государственный орган в области образования не входит в перечень нормотворческих органов, которые наделены правом принимать нормативные правовые акты.</w:t>
      </w:r>
    </w:p>
    <w:p>
      <w:pPr>
        <w:spacing w:after="60"/>
        <w:ind w:firstLine="567"/>
        <w:jc w:val="both"/>
      </w:pPr>
      <w:r>
        <w:rPr>
          <w:rFonts w:ascii="Arial" w:cs="Arial" w:eastAsia="Arial" w:hAnsi="Arial"/>
          <w:sz w:val="24"/>
          <w:szCs w:val="24"/>
        </w:rPr>
        <w:t xml:space="preserve">Также в порядке информации сообщаем, что Порядок применения дистанционных образовательных технологий при реализации образовательных программ утвержден постановлением Правительства Кыргызской Республики от 26 июня 2014 года № 354.</w:t>
      </w:r>
    </w:p>
    <w:p>
      <w:pPr>
        <w:spacing w:after="60"/>
        <w:ind w:firstLine="567"/>
        <w:jc w:val="both"/>
      </w:pPr>
      <w:r>
        <w:rPr>
          <w:rFonts w:ascii="Arial" w:cs="Arial" w:eastAsia="Arial" w:hAnsi="Arial"/>
          <w:sz w:val="24"/>
          <w:szCs w:val="24"/>
        </w:rPr>
        <w:t xml:space="preserve">В связи с этим полагаем необходимым часть 1 статьи 1 законопроекта пересмотреть.</w:t>
      </w:r>
    </w:p>
    <w:p>
      <w:pPr>
        <w:spacing w:after="60"/>
        <w:ind w:firstLine="567"/>
        <w:jc w:val="both"/>
      </w:pPr>
      <w:r>
        <w:rPr>
          <w:rFonts w:ascii="Arial" w:cs="Arial" w:eastAsia="Arial" w:hAnsi="Arial"/>
          <w:sz w:val="24"/>
          <w:szCs w:val="24"/>
        </w:rPr>
        <w:t xml:space="preserve">2. Частью 2 статьи 1 проекта Закона предлагается статью 43-2 Закона Кыргызской Республики «Об образовании» дополнить частью 2, в рамках которой уполномоченный государственный орган в сфере образования наделяется правом принимать решения, обязательные к исполнению всеми образовательными организациями вне зависимости от формы собственности, по вопросам предоставления скидки, отсрочки или рассрочки оплаты за предоставление образовательных услуг.</w:t>
      </w:r>
    </w:p>
    <w:p>
      <w:pPr>
        <w:spacing w:after="60"/>
        <w:ind w:firstLine="567"/>
        <w:jc w:val="both"/>
      </w:pPr>
      <w:r>
        <w:rPr>
          <w:rFonts w:ascii="Arial" w:cs="Arial" w:eastAsia="Arial" w:hAnsi="Arial"/>
          <w:sz w:val="24"/>
          <w:szCs w:val="24"/>
        </w:rPr>
        <w:t xml:space="preserve">В соответствии со статьей 37 Закона Кыргызской Республики «Об образовании» образовательные организации обладают самостоятельностью в осуществлении финансово-хозяйственных и иных вопросов в пределах устава, учредительного договора, законодательных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При этом определение ценовой политики на предоставляемые услуги частными образовательными организациями, равно как и снижение, отсрочка или рассрочка оплаты за услуги, в полномочия уполномоченного государственного органа в сфере образования не входят.</w:t>
      </w:r>
    </w:p>
    <w:p>
      <w:pPr>
        <w:spacing w:after="60"/>
        <w:ind w:firstLine="567"/>
        <w:jc w:val="both"/>
      </w:pPr>
      <w:r>
        <w:rPr>
          <w:rFonts w:ascii="Arial" w:cs="Arial" w:eastAsia="Arial" w:hAnsi="Arial"/>
          <w:sz w:val="24"/>
          <w:szCs w:val="24"/>
        </w:rPr>
        <w:t xml:space="preserve">Многие образова тельные организации частной формы собственности осуществляют свою деятельность на основании кредита и аренды помещений.</w:t>
      </w:r>
    </w:p>
    <w:p>
      <w:pPr>
        <w:spacing w:after="60"/>
        <w:ind w:firstLine="567"/>
        <w:jc w:val="both"/>
      </w:pPr>
      <w:r>
        <w:rPr>
          <w:rFonts w:ascii="Arial" w:cs="Arial" w:eastAsia="Arial" w:hAnsi="Arial"/>
          <w:sz w:val="24"/>
          <w:szCs w:val="24"/>
        </w:rPr>
        <w:t xml:space="preserve">Однако со стороны банковских или кредитных организаций, а также арендодателей отсутствуют преференции по снижению процентных ставок или оплаты за использование помещений в условиях чрезвычайной ситуации и чрезвычайного положения.</w:t>
      </w:r>
    </w:p>
    <w:p>
      <w:pPr>
        <w:spacing w:after="60"/>
        <w:ind w:firstLine="567"/>
        <w:jc w:val="both"/>
      </w:pPr>
      <w:r>
        <w:rPr>
          <w:rFonts w:ascii="Arial" w:cs="Arial" w:eastAsia="Arial" w:hAnsi="Arial"/>
          <w:sz w:val="24"/>
          <w:szCs w:val="24"/>
        </w:rPr>
        <w:t xml:space="preserve">Следует отметить, что в случае, если сроки оплаты и стоимость оплаты установлены в договорах (контрактах) между образовательной организацией и обучающимися или их родителями (лицами, их заменяющими), то для изменения сроков оплаты и стоимости обучения необходимо вносить поправки в соответствующие договора (контракты).</w:t>
      </w:r>
    </w:p>
    <w:p>
      <w:pPr>
        <w:spacing w:after="60"/>
        <w:ind w:firstLine="567"/>
        <w:jc w:val="both"/>
      </w:pPr>
      <w:r>
        <w:rPr>
          <w:rFonts w:ascii="Arial" w:cs="Arial" w:eastAsia="Arial" w:hAnsi="Arial"/>
          <w:sz w:val="24"/>
          <w:szCs w:val="24"/>
        </w:rPr>
        <w:t xml:space="preserve">При этом отмечаем, что в соответствии с пунктом 6 статьи 4 Закона Кыргызской Республики «О защите прав потребителей» потребитель вправе оплачивать фактически полученное им количество товара (работы, услуги) в наличной и/или безналичной форме оплаты.</w:t>
      </w:r>
    </w:p>
    <w:p>
      <w:pPr>
        <w:spacing w:after="60"/>
        <w:ind w:firstLine="567"/>
        <w:jc w:val="both"/>
      </w:pPr>
      <w:r>
        <w:rPr>
          <w:rFonts w:ascii="Arial" w:cs="Arial" w:eastAsia="Arial" w:hAnsi="Arial"/>
          <w:sz w:val="24"/>
          <w:szCs w:val="24"/>
        </w:rPr>
        <w:t xml:space="preserve">Если продавец (изготовитель, исполнитель) передал потребителю меньшее количество товара (работы, услуги), чем предусмотрено договором, то продавец (изготовитель, исполнитель) обязан, если иное не предусмотрено договором, возместить полностью понесенные при этом потребителем убытки.</w:t>
      </w:r>
    </w:p>
    <w:p>
      <w:pPr>
        <w:spacing w:after="60"/>
        <w:ind w:firstLine="567"/>
        <w:jc w:val="both"/>
      </w:pPr>
      <w:r>
        <w:rPr>
          <w:rFonts w:ascii="Arial" w:cs="Arial" w:eastAsia="Arial" w:hAnsi="Arial"/>
          <w:sz w:val="24"/>
          <w:szCs w:val="24"/>
        </w:rPr>
        <w:t xml:space="preserve">В порядке информации сообщаем, что во время режима чрезвычайного положения государственные образовательные организации. перешедшие на дистанционную форму обучения, должны произвести расчет за подобную форму обучения исходя их фактических затрат согласно Положению о формировании тарифов на платные образовательные услуги в Кыргызской Республике, утвержденному постановлением Правительства Кыргызской Республики от 18 мая 2009 года № 300.</w:t>
      </w:r>
    </w:p>
    <w:p>
      <w:pPr>
        <w:spacing w:after="60"/>
        <w:ind w:firstLine="567"/>
        <w:jc w:val="both"/>
      </w:pPr>
      <w:r>
        <w:rPr>
          <w:rFonts w:ascii="Arial" w:cs="Arial" w:eastAsia="Arial" w:hAnsi="Arial"/>
          <w:sz w:val="24"/>
          <w:szCs w:val="24"/>
        </w:rPr>
        <w:t xml:space="preserve">В связи с этим часть 2 статьи 1 проекта Закона предлагаем исключить.</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вышеназванною проекта Закона нецелесообразным.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navpjn3rkmsahdfdfl87">
      <w:r>
        <w:rPr>
          <w:rFonts w:ascii="Arial" w:cs="Arial" w:eastAsia="Arial" w:hAnsi="Arial"/>
          <w:color w:val="132D3F"/>
          <w:sz w:val="16"/>
          <w:szCs w:val="16"/>
          <w:u w:val="single"/>
        </w:rPr>
        <w:t xml:space="preserve">dalil.kg/document/157502</w:t>
      </w:r>
    </w:hyperlink>
  </w:p>
  <w:p>
    <w:pPr>
      <w:spacing w:after="0" w:before="40"/>
      <w:jc w:val="center"/>
    </w:pPr>
    <w:hyperlink w:history="1" r:id="rId1n84pe-in1upqwpq6s9d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mzbsu1tdtrvctiobnhy" Type="http://schemas.openxmlformats.org/officeDocument/2006/relationships/hyperlink" Target="https://dalil.kg/document/203685#st_31" TargetMode="External"/><Relationship Id="rIdcfex2nfasc0snly95-m5t" Type="http://schemas.openxmlformats.org/officeDocument/2006/relationships/hyperlink" Target="https://dalil.kg/document/157502#pr" TargetMode="External"/><Relationship Id="rIdpmsz_uyq0zctlgszhfgdx" Type="http://schemas.openxmlformats.org/officeDocument/2006/relationships/hyperlink" Target="https://dalil.kg/document/203685#st_31" TargetMode="External"/><Relationship Id="rIdguhprxutnc7vyhwzn5x57" Type="http://schemas.openxmlformats.org/officeDocument/2006/relationships/hyperlink" Target="https://dalil.kg/document/1216" TargetMode="External"/><Relationship Id="rIdvzqt32y1mbvnwe_1pz_uq" Type="http://schemas.openxmlformats.org/officeDocument/2006/relationships/hyperlink" Target="https://dalil.kg/document/1216" TargetMode="External"/><Relationship Id="rIdv5c_ujhauwjyk7icu0ne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navpjn3rkmsahdfdfl87" Type="http://schemas.openxmlformats.org/officeDocument/2006/relationships/hyperlink" Target="https://dalil.kg/document/157502" TargetMode="External"/><Relationship Id="rId1n84pe-in1upqwpq6s9d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2026-09-30T20:17:23.147Z</dcterms:created>
  <dcterms:modified xsi:type="dcterms:W3CDTF">2026-09-30T20:17:23.147Z</dcterms:modified>
</cp:coreProperties>
</file>

<file path=docProps/custom.xml><?xml version="1.0" encoding="utf-8"?>
<Properties xmlns="http://schemas.openxmlformats.org/officeDocument/2006/custom-properties" xmlns:vt="http://schemas.openxmlformats.org/officeDocument/2006/docPropsVTypes"/>
</file>