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7 февраля 2020 года № 72</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Закон Кыргызской Республики "Об автомобильных дорогах)"</w:t>
      </w:r>
    </w:p>
    <w:p>
      <w:pPr>
        <w:spacing w:after="120"/>
        <w:jc w:val="both"/>
      </w:pPr>
      <w:r>
        <w:rPr>
          <w:rFonts w:ascii="Arial" w:cs="Arial" w:eastAsia="Arial" w:hAnsi="Arial"/>
          <w:sz w:val="24"/>
          <w:szCs w:val="24"/>
        </w:rPr>
        <w:t xml:space="preserve">В соответствии со </w:t>
      </w:r>
      <w:hyperlink w:history="1" r:id="rIdmsntoibatpe4lafdgxuws">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bxyczpxwjs1v8aubjcdie">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27cgbj1hanmlryyhvhwn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Закон Кыргызской Республики "</w:t>
      </w:r>
      <w:hyperlink w:history="1" r:id="rIdunzykkmzae3gwb1s-z5vg">
        <w:r>
          <w:rPr>
            <w:rFonts w:ascii="Arial" w:cs="Arial" w:eastAsia="Arial" w:hAnsi="Arial"/>
            <w:color w:val="1D4ED8"/>
            <w:sz w:val="24"/>
            <w:szCs w:val="24"/>
            <w:u w:val="single"/>
          </w:rPr>
          <w:t xml:space="preserve">Об автомобильных дорогах</w:t>
        </w:r>
      </w:hyperlink>
      <w:r>
        <w:rPr>
          <w:rFonts w:ascii="Arial" w:cs="Arial" w:eastAsia="Arial" w:hAnsi="Arial"/>
          <w:sz w:val="24"/>
          <w:szCs w:val="24"/>
        </w:rPr>
        <w:t xml:space="preserve">)", инициированный депутатом Жогорку Кенеша Кыргызской Республики Маматалиевым М.А.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7 февраля 2020 года № 72</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Закон Кыргызской Республики "Об автомобильных дорогах)"</w:t>
      </w:r>
    </w:p>
    <w:p>
      <w:pPr>
        <w:spacing w:after="120"/>
        <w:jc w:val="both"/>
      </w:pPr>
      <w:r>
        <w:rPr>
          <w:rFonts w:ascii="Arial" w:cs="Arial" w:eastAsia="Arial" w:hAnsi="Arial"/>
          <w:sz w:val="24"/>
          <w:szCs w:val="24"/>
        </w:rPr>
        <w:t xml:space="preserve">Правительство Кыргызской Республики в соответствии со </w:t>
      </w:r>
      <w:hyperlink w:history="1" r:id="rIdyxwlqds6cplcwz_mqbznk">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zte0ce7vbhr6jkt6pw1y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rykgnppvh6mcsmirdhh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инициированный депутатом Жогорку Кенеша Кыргызской Республики Маматалиевым М.А., отмечает следующее.</w:t>
      </w:r>
    </w:p>
    <w:p>
      <w:pPr>
        <w:spacing w:after="120"/>
        <w:jc w:val="both"/>
      </w:pPr>
      <w:r>
        <w:rPr>
          <w:rFonts w:ascii="Arial" w:cs="Arial" w:eastAsia="Arial" w:hAnsi="Arial"/>
          <w:sz w:val="24"/>
          <w:szCs w:val="24"/>
        </w:rPr>
        <w:t xml:space="preserve">1. Пунктом 1 статьи 1 представленного законопроекта предлагается дополнить </w:t>
      </w:r>
      <w:hyperlink w:history="1" r:id="rIdl_nmrsurb50at0cchw-rd">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Кодекса Кыргызской Республики о нарушениях нормой о наложении штрафа 9 категории: для физических лиц - 1000 расчетных показателей, для юридических лиц - 2000 расчетных показателей.</w:t>
      </w:r>
    </w:p>
    <w:p>
      <w:pPr>
        <w:spacing w:after="120"/>
        <w:jc w:val="both"/>
      </w:pPr>
      <w:r>
        <w:rPr>
          <w:rFonts w:ascii="Arial" w:cs="Arial" w:eastAsia="Arial" w:hAnsi="Arial"/>
          <w:sz w:val="24"/>
          <w:szCs w:val="24"/>
        </w:rPr>
        <w:t xml:space="preserve">При этом в справке-обосновании к проекту не отражена информация о том, исходя из каких критериев определено наложение штрафа за нарушение водителем нарушений весогабаритных норм - в размере 1000 и 2000 расчетных показателей.</w:t>
      </w:r>
    </w:p>
    <w:p>
      <w:pPr>
        <w:spacing w:after="120"/>
        <w:jc w:val="both"/>
      </w:pPr>
      <w:r>
        <w:rPr>
          <w:rFonts w:ascii="Arial" w:cs="Arial" w:eastAsia="Arial" w:hAnsi="Arial"/>
          <w:sz w:val="24"/>
          <w:szCs w:val="24"/>
        </w:rPr>
        <w:t xml:space="preserve">Между тем данная норма будет противоречить концепции </w:t>
      </w:r>
      <w:hyperlink w:history="1" r:id="rIdamvijmrnx985muaedahv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так как максимальный размер штрафа, предусмотренный указанным </w:t>
      </w:r>
      <w:hyperlink w:history="1" r:id="rIdtokqvnnkzabck2d6dbhm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не должен превышать или быть равен максимальному штрафу, предусмотренному </w:t>
      </w:r>
      <w:hyperlink w:history="1" r:id="rIdyy1t1klqc20kg0iadsgr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В порядке информации сообщаем, что на сегодняшний день минимальный размер штрафа, предусмотренный </w:t>
      </w:r>
      <w:hyperlink w:history="1" r:id="rId8h-znwwbr-8somflwsqi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составляет 200 расчетных показателей.</w:t>
      </w:r>
    </w:p>
    <w:p>
      <w:pPr>
        <w:spacing w:after="120"/>
        <w:jc w:val="both"/>
      </w:pPr>
      <w:r>
        <w:rPr>
          <w:rFonts w:ascii="Arial" w:cs="Arial" w:eastAsia="Arial" w:hAnsi="Arial"/>
          <w:sz w:val="24"/>
          <w:szCs w:val="24"/>
        </w:rPr>
        <w:t xml:space="preserve">В этой связи, в случае необходимости введения норм об увеличении сумм штрафов в </w:t>
      </w:r>
      <w:hyperlink w:history="1" r:id="rId4vvylgwbblqfwy3zmvso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потребуется также внести соответствующие изменения в </w:t>
      </w:r>
      <w:hyperlink w:history="1" r:id="rIdt07yfhxdrksheit4xlbm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w:t>
      </w:r>
    </w:p>
    <w:p>
      <w:pPr>
        <w:spacing w:after="120"/>
        <w:jc w:val="both"/>
      </w:pPr>
      <w:r>
        <w:rPr>
          <w:rFonts w:ascii="Arial" w:cs="Arial" w:eastAsia="Arial" w:hAnsi="Arial"/>
          <w:sz w:val="24"/>
          <w:szCs w:val="24"/>
        </w:rPr>
        <w:t xml:space="preserve">Вместе с тем, распоряжением Правительства Кыргызской Республики от 25 февраля 2019 года № 99 образована постоянно действующая межведомственная рабочая группа по анализу нормативных правовых актов Кыргызской Республики, принятых в рамках судебно-правовой реформы, на предмет выявления пробелов и коллизий.</w:t>
      </w:r>
    </w:p>
    <w:p>
      <w:pPr>
        <w:spacing w:after="120"/>
        <w:jc w:val="both"/>
      </w:pPr>
      <w:r>
        <w:rPr>
          <w:rFonts w:ascii="Arial" w:cs="Arial" w:eastAsia="Arial" w:hAnsi="Arial"/>
          <w:sz w:val="24"/>
          <w:szCs w:val="24"/>
        </w:rPr>
        <w:t xml:space="preserve">В этой связи считаем необходимым рассмотреть указанный проект Закона на заседании вышеуказанной межведомственной рабочей группы, созданной в целях реализации решения Совета по судебной реформе при Президенте Кыргызской Республики от 27 декабря 2018 года № 2, </w:t>
      </w:r>
      <w:hyperlink w:history="1" r:id="rIdi1nxw5cqgzap9pfyqet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 проделанной Правительством Кыргызской Республики работе по введенным с 1 января 2019 года в действие новым кодексам и законам, принятым в рамках судебно-правовой реформы" от 23 января 2019 года № 2840-VI.</w:t>
      </w:r>
    </w:p>
    <w:p>
      <w:pPr>
        <w:spacing w:after="120"/>
        <w:jc w:val="both"/>
      </w:pPr>
      <w:r>
        <w:rPr>
          <w:rFonts w:ascii="Arial" w:cs="Arial" w:eastAsia="Arial" w:hAnsi="Arial"/>
          <w:sz w:val="24"/>
          <w:szCs w:val="24"/>
        </w:rPr>
        <w:t xml:space="preserve">2. Частью 2 статьи 3 проекта Закона Правительству Кыргызской Республики поручается привести свои нормативные правовые акты в соответствие с данным Законом.</w:t>
      </w:r>
    </w:p>
    <w:p>
      <w:pPr>
        <w:spacing w:after="120"/>
        <w:jc w:val="both"/>
      </w:pPr>
      <w:r>
        <w:rPr>
          <w:rFonts w:ascii="Arial" w:cs="Arial" w:eastAsia="Arial" w:hAnsi="Arial"/>
          <w:sz w:val="24"/>
          <w:szCs w:val="24"/>
        </w:rPr>
        <w:t xml:space="preserve">В связи с этим следует отметить, что согласно статье 24 </w:t>
      </w:r>
      <w:hyperlink w:history="1" r:id="rIdrxo81kpz3my2ip3vplfc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Информацию о нормативных правовых актах, подлежащих пересмотру, в случае принятия рассматриваемого проекта, необходимо отразить в справке-обосновании к проекту.</w:t>
      </w:r>
    </w:p>
    <w:p>
      <w:pPr>
        <w:spacing w:after="120"/>
        <w:jc w:val="both"/>
      </w:pPr>
      <w:r>
        <w:rPr>
          <w:rFonts w:ascii="Arial" w:cs="Arial" w:eastAsia="Arial" w:hAnsi="Arial"/>
          <w:sz w:val="24"/>
          <w:szCs w:val="24"/>
        </w:rPr>
        <w:t xml:space="preserve">В случае, если по итогам анализа нормативных правовых актов Правительства не будут выявлены решения, подлежащие пересмотру в связи с принятием данного законопроекта, часть 2 статьи 3 представленного проекта Закона необходимо исключить.</w:t>
      </w:r>
    </w:p>
    <w:p>
      <w:pPr>
        <w:spacing w:after="120"/>
        <w:jc w:val="both"/>
      </w:pPr>
      <w:r>
        <w:rPr>
          <w:rFonts w:ascii="Arial" w:cs="Arial" w:eastAsia="Arial" w:hAnsi="Arial"/>
          <w:sz w:val="24"/>
          <w:szCs w:val="24"/>
        </w:rPr>
        <w:t xml:space="preserve">3. Пунктом 2 статьи 1 проекта Закона предлагается внести изменение в </w:t>
      </w:r>
      <w:hyperlink w:history="1" r:id="rIddeuvwyhdaxmjoq3z_ecdi">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Кодекса Кыргызской Республики о нарушениях, согласно которому предлагается определить, что "нарушение водителем установленных Правительством требований к максимальной общей массе, осевой нагрузке, размерам и другим линейным параметрам автотранспортных средств, правил перевозки опасных грузов или иных правил порядка проезда крупногабаритных либо тяжеловесных транспортных средств со специальным и неделимым грузом по автомобильным дорогам, улицам или железнодорожным переездам, а также нарушение требований должностного лица о направлении об отправке транспортного средства для временной парковки - влечет наложение штрафа 9 категории".</w:t>
      </w:r>
    </w:p>
    <w:p>
      <w:pPr>
        <w:spacing w:after="120"/>
        <w:jc w:val="both"/>
      </w:pPr>
      <w:r>
        <w:rPr>
          <w:rFonts w:ascii="Arial" w:cs="Arial" w:eastAsia="Arial" w:hAnsi="Arial"/>
          <w:sz w:val="24"/>
          <w:szCs w:val="24"/>
        </w:rPr>
        <w:t xml:space="preserve">В этой связи следует отметить, что </w:t>
      </w:r>
      <w:hyperlink w:history="1" r:id="rId_6e1ft5w8y3mmxajwzgo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ноября 2019 года № 613 одобрен проект Закона Кыргызской Республики "О внесении изменений в </w:t>
      </w:r>
      <w:hyperlink w:history="1" r:id="rIdnipxqockfsac_wwxmmb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spacing w:after="120"/>
        <w:jc w:val="both"/>
      </w:pPr>
      <w:r>
        <w:rPr>
          <w:rFonts w:ascii="Arial" w:cs="Arial" w:eastAsia="Arial" w:hAnsi="Arial"/>
          <w:sz w:val="24"/>
          <w:szCs w:val="24"/>
        </w:rPr>
        <w:t xml:space="preserve">Так, указанным законопроектом предусмотрено внесение изменений в </w:t>
      </w:r>
      <w:hyperlink w:history="1" r:id="rId6pwzsynzukpgpzj9bgzu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том числе в части наложения штрафных санкций за несоблюдение установленных весогабаритных параметров транспортных средств. Указанный законопроект в настоящее время находится на рассмотрении в Жогорку Кенеше Кыргызской Республики.</w:t>
      </w:r>
    </w:p>
    <w:p>
      <w:pPr>
        <w:spacing w:after="120"/>
        <w:jc w:val="both"/>
      </w:pPr>
      <w:r>
        <w:rPr>
          <w:rFonts w:ascii="Arial" w:cs="Arial" w:eastAsia="Arial" w:hAnsi="Arial"/>
          <w:sz w:val="24"/>
          <w:szCs w:val="24"/>
        </w:rPr>
        <w:t xml:space="preserve">Кроме этого, предлагаемое изменение в </w:t>
      </w:r>
      <w:hyperlink w:history="1" r:id="rIdqtn-33binydovihoq_anv">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названного Кодекса частично дублирует часть 2 </w:t>
      </w:r>
      <w:hyperlink w:history="1" r:id="rIdsh_soxchbxoz2svkhbbwr">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существующей редакции данного Кодекса.</w:t>
      </w:r>
    </w:p>
    <w:p>
      <w:pPr>
        <w:spacing w:after="120"/>
        <w:jc w:val="both"/>
      </w:pPr>
      <w:r>
        <w:rPr>
          <w:rFonts w:ascii="Arial" w:cs="Arial" w:eastAsia="Arial" w:hAnsi="Arial"/>
          <w:sz w:val="24"/>
          <w:szCs w:val="24"/>
        </w:rPr>
        <w:t xml:space="preserve">Вместе с тем, в соответствии со статьей 2 </w:t>
      </w:r>
      <w:hyperlink w:history="1" r:id="rId3uskxapc3l85v32kvmo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общеобязательные правила поведения, рассчитанные на неопределенный круг лиц и неоднократное применение, содержатся в нормативных правовых актах. Соответственно ответственность, в том числе и уголовная, должна быть предусмотрена за нарушение конкретных требований, предусмотренных нормативными правовыми актами.</w:t>
      </w:r>
    </w:p>
    <w:p>
      <w:pPr>
        <w:spacing w:after="120"/>
        <w:jc w:val="both"/>
      </w:pPr>
      <w:r>
        <w:rPr>
          <w:rFonts w:ascii="Arial" w:cs="Arial" w:eastAsia="Arial" w:hAnsi="Arial"/>
          <w:sz w:val="24"/>
          <w:szCs w:val="24"/>
        </w:rPr>
        <w:t xml:space="preserve">Предлагаемая формулировка, содержащаяся в законопроекте, может способствовать коррупционным проявлениям в правоприменительной практике, так как данное положение является обобщенным и носит оценочный характер, и, соответственно, представляет соответствующим субъектам дискреционные полномочия по своему усмотрению толковать ту или иную ситуацию.</w:t>
      </w:r>
    </w:p>
    <w:p>
      <w:pPr>
        <w:spacing w:after="120"/>
        <w:jc w:val="both"/>
      </w:pPr>
      <w:r>
        <w:rPr>
          <w:rFonts w:ascii="Arial" w:cs="Arial" w:eastAsia="Arial" w:hAnsi="Arial"/>
          <w:sz w:val="24"/>
          <w:szCs w:val="24"/>
        </w:rPr>
        <w:t xml:space="preserve">Также проектом Закона предлагается </w:t>
      </w:r>
      <w:hyperlink w:history="1" r:id="rIddgcd1r_txrzalptscqcgt">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дополнить частью 4, согласно которой предусматривается введение наказания за несоблюдение водителем правил пропуска в пунктах транспортного контроля. Однако необходимо отметить, что как такового нормативного правого акта, регламентирующего "правила пропуска в пунктах транспортного контроля" не существует.</w:t>
      </w:r>
    </w:p>
    <w:p>
      <w:pPr>
        <w:spacing w:after="120"/>
        <w:jc w:val="both"/>
      </w:pPr>
      <w:r>
        <w:rPr>
          <w:rFonts w:ascii="Arial" w:cs="Arial" w:eastAsia="Arial" w:hAnsi="Arial"/>
          <w:sz w:val="24"/>
          <w:szCs w:val="24"/>
        </w:rPr>
        <w:t xml:space="preserve">В этой связи, предлагаемую норму проекта Закона необходимо исключить.</w:t>
      </w:r>
    </w:p>
    <w:p>
      <w:pPr>
        <w:spacing w:after="120"/>
        <w:jc w:val="both"/>
      </w:pPr>
      <w:r>
        <w:rPr>
          <w:rFonts w:ascii="Arial" w:cs="Arial" w:eastAsia="Arial" w:hAnsi="Arial"/>
          <w:sz w:val="24"/>
          <w:szCs w:val="24"/>
        </w:rPr>
        <w:t xml:space="preserve">4. Пунктом 3 статьи 1 проекта Закона предлагается статью 299 Кодекса Кыргызской Республики о нарушениях дополнить частью 5, предусматривающей применение специальных технических средств для фиксации нарушений весогабаритных норм.</w:t>
      </w:r>
    </w:p>
    <w:p>
      <w:pPr>
        <w:spacing w:after="120"/>
        <w:jc w:val="both"/>
      </w:pPr>
      <w:r>
        <w:rPr>
          <w:rFonts w:ascii="Arial" w:cs="Arial" w:eastAsia="Arial" w:hAnsi="Arial"/>
          <w:sz w:val="24"/>
          <w:szCs w:val="24"/>
        </w:rPr>
        <w:t xml:space="preserve">Однако предлагаем указанный пункт изложить в следующей редакции: "5) фиксация нарушений установленного Порядка пропуска транспортных средств по автомобильным дорогам общего пользования и взимания сборов за взвешивание и измерение общей массы, осевых нагрузок, размеров и других линейных параметров транспортных средств, а также установленного Порядка пользования автомобильными дорогами и дорожными сооружениями и их охраны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jc w:val="both"/>
      </w:pPr>
      <w:r>
        <w:rPr>
          <w:rFonts w:ascii="Arial" w:cs="Arial" w:eastAsia="Arial" w:hAnsi="Arial"/>
          <w:sz w:val="24"/>
          <w:szCs w:val="24"/>
        </w:rPr>
        <w:t xml:space="preserve">Данное предложение обуславливается тем, что правила проезда крупногабаритных либо тяжеловесных транспортных средств по автомобильным дорогам, улицам или железнодорожным переездам устанавливают порядок согласования перевозки крупногабаритных и тяжеловесных грузов автомобильным транспортом независимо от организационных форм собственности его владельца по дорогам на территории Кыргызской Республики, определяют основные требования к техническому состоянию, оборудованию и дополнительному оснащению транспортных средств, используемых для перевозки крупногабаритных и тяжеловесных грузов, а также действия уполномоченного государственного органа в сфере обеспечения безопасности дорожного движения по обеспечению безопасности таких перевозок.</w:t>
      </w:r>
    </w:p>
    <w:p>
      <w:pPr>
        <w:spacing w:after="120"/>
        <w:jc w:val="both"/>
      </w:pPr>
      <w:r>
        <w:rPr>
          <w:rFonts w:ascii="Arial" w:cs="Arial" w:eastAsia="Arial" w:hAnsi="Arial"/>
          <w:sz w:val="24"/>
          <w:szCs w:val="24"/>
        </w:rPr>
        <w:t xml:space="preserve">5. Статьей 2 проекта Закона предлагается внести изменение в </w:t>
      </w:r>
      <w:hyperlink w:history="1" r:id="rIdieikmnae0hu02wio-xtsk">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Закона Кыргызской Республики "Об автомобильных дорогах", в части дополнения абзацем шестым, согласно которому контроль за соблюдением требований весогабаритных параметров производится в пунктах транспортного контроля с использованием оборудования, установленного для взвешивания и измерения общей массы, осевых нагрузок, размеров и других линейных параметров транспортных средств, а также при наличии в пунктах транспортного контроля автоматизированной системы, контроль за соблюдением требований весогабаритных параметров осуществлять только автоматизированной системой.</w:t>
      </w:r>
    </w:p>
    <w:p>
      <w:pPr>
        <w:spacing w:after="120"/>
        <w:jc w:val="both"/>
      </w:pPr>
      <w:r>
        <w:rPr>
          <w:rFonts w:ascii="Arial" w:cs="Arial" w:eastAsia="Arial" w:hAnsi="Arial"/>
          <w:sz w:val="24"/>
          <w:szCs w:val="24"/>
        </w:rPr>
        <w:t xml:space="preserve">В этой связи, необходимо отметить, что в соответствии со статьями </w:t>
      </w:r>
      <w:hyperlink w:history="1" r:id="rIdsg-ajc31w_mbyrz3gri-d">
        <w:r>
          <w:rPr>
            <w:rFonts w:ascii="Arial" w:cs="Arial" w:eastAsia="Arial" w:hAnsi="Arial"/>
            <w:color w:val="1D4ED8"/>
            <w:sz w:val="24"/>
            <w:szCs w:val="24"/>
            <w:u w:val="single"/>
          </w:rPr>
          <w:t xml:space="preserve">18</w:t>
        </w:r>
      </w:hyperlink>
      <w:r>
        <w:rPr>
          <w:rFonts w:ascii="Arial" w:cs="Arial" w:eastAsia="Arial" w:hAnsi="Arial"/>
          <w:sz w:val="24"/>
          <w:szCs w:val="24"/>
        </w:rPr>
        <w:t xml:space="preserve"> и </w:t>
      </w:r>
      <w:hyperlink w:history="1" r:id="rIdgtchvnyldkjddjkdnapcs">
        <w:r>
          <w:rPr>
            <w:rFonts w:ascii="Arial" w:cs="Arial" w:eastAsia="Arial" w:hAnsi="Arial"/>
            <w:color w:val="1D4ED8"/>
            <w:sz w:val="24"/>
            <w:szCs w:val="24"/>
            <w:u w:val="single"/>
          </w:rPr>
          <w:t xml:space="preserve">19</w:t>
        </w:r>
      </w:hyperlink>
      <w:r>
        <w:rPr>
          <w:rFonts w:ascii="Arial" w:cs="Arial" w:eastAsia="Arial" w:hAnsi="Arial"/>
          <w:sz w:val="24"/>
          <w:szCs w:val="24"/>
        </w:rPr>
        <w:t xml:space="preserve"> Закона Кыргызской Республики "Об автомобильных дорогах" </w:t>
      </w:r>
      <w:hyperlink w:history="1" r:id="rIdleahujtojeyozglibtz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августа 2011 года № 454 были утверждены Порядок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и Порядок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 Указанными порядками установлено, что контроль пропуска осуществляется с целью выявления несанкционированного проезда транспортных средств по автомобильным дорогам общего пользования и взимания сборов за взвешивание и измерение общей массы, осевых нагрузок, размеров и других линейных параметров в пунктах контроля веса и габаритов транспортных средств. Также в настоящее время весогабаритный контроль во всех пунктах транспортного контроля производится через автоматизированную информационную систему "Электронный транспортный контроль".</w:t>
      </w:r>
    </w:p>
    <w:p>
      <w:pPr>
        <w:spacing w:after="120"/>
        <w:jc w:val="both"/>
      </w:pPr>
      <w:r>
        <w:rPr>
          <w:rFonts w:ascii="Arial" w:cs="Arial" w:eastAsia="Arial" w:hAnsi="Arial"/>
          <w:sz w:val="24"/>
          <w:szCs w:val="24"/>
        </w:rPr>
        <w:t xml:space="preserve">На основании вышеизложенного считаем нецелесообразным внесение изменений в указанный Закон в этой части.</w:t>
      </w:r>
    </w:p>
    <w:p>
      <w:pPr>
        <w:spacing w:after="120"/>
        <w:jc w:val="both"/>
      </w:pPr>
      <w:r>
        <w:rPr>
          <w:rFonts w:ascii="Arial" w:cs="Arial" w:eastAsia="Arial" w:hAnsi="Arial"/>
          <w:sz w:val="24"/>
          <w:szCs w:val="24"/>
        </w:rPr>
        <w:t xml:space="preserve">В порядке информации сообщаем, что на сегодняшний день применение концепции (модели) автоматического штрафования при произведении весогабаритного контроля, согласно действующему законодательству в сфере обеспечения сохранности автомобильных дорог общего пользования, невозможно по нижеперечисленным причинам.</w:t>
      </w:r>
    </w:p>
    <w:p>
      <w:pPr>
        <w:spacing w:after="120"/>
        <w:jc w:val="both"/>
      </w:pPr>
      <w:r>
        <w:rPr>
          <w:rFonts w:ascii="Arial" w:cs="Arial" w:eastAsia="Arial" w:hAnsi="Arial"/>
          <w:sz w:val="24"/>
          <w:szCs w:val="24"/>
        </w:rPr>
        <w:t xml:space="preserve">В соответствии со </w:t>
      </w:r>
      <w:hyperlink w:history="1" r:id="rIdibjp8xadnwfrfk5ognqc7">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указанного Закона пользователи автомобильных дорог при осуществлении перевозок пассажиров и грузов обязаны обеспечивать сохранность автомобильных дорог и дорожных сооружений.</w:t>
      </w:r>
    </w:p>
    <w:p>
      <w:pPr>
        <w:spacing w:after="120"/>
        <w:jc w:val="both"/>
      </w:pPr>
      <w:r>
        <w:rPr>
          <w:rFonts w:ascii="Arial" w:cs="Arial" w:eastAsia="Arial" w:hAnsi="Arial"/>
          <w:sz w:val="24"/>
          <w:szCs w:val="24"/>
        </w:rPr>
        <w:t xml:space="preserve">Частью 5 и 6 </w:t>
      </w:r>
      <w:hyperlink w:history="1" r:id="rIdmrvkc7qvq1uw3r-lzocg9">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названного Закона установлено, что по автомобильным дорогам общего пользования разрешается проезд транспортных средств, самоходных машин и механизмов, не превышающих установленные нормы по максимальным размерам, массам, осевым нагрузкам и другим линейным параметрам.</w:t>
      </w:r>
    </w:p>
    <w:p>
      <w:pPr>
        <w:spacing w:after="120"/>
        <w:jc w:val="both"/>
      </w:pPr>
      <w:r>
        <w:rPr>
          <w:rFonts w:ascii="Arial" w:cs="Arial" w:eastAsia="Arial" w:hAnsi="Arial"/>
          <w:sz w:val="24"/>
          <w:szCs w:val="24"/>
        </w:rPr>
        <w:t xml:space="preserve">Исходя из вышеизложенного применение концепции (модели) "Безопасный город" при произведении весогабаритного контроля невозможно, так как субъект, осуществляющий перевозку грузов и пассажиров с превышением допустимых весогабаритных параметров, обязан заплатить штраф, и автотранспорт не подлежит дальнейшему передвижению по автомобильным дорогам общего пользования Кыргызской Республики.</w:t>
      </w:r>
    </w:p>
    <w:p>
      <w:pPr>
        <w:spacing w:after="120"/>
        <w:jc w:val="both"/>
      </w:pPr>
      <w:r>
        <w:rPr>
          <w:rFonts w:ascii="Arial" w:cs="Arial" w:eastAsia="Arial" w:hAnsi="Arial"/>
          <w:sz w:val="24"/>
          <w:szCs w:val="24"/>
        </w:rPr>
        <w:t xml:space="preserve">Более того, внедрить автоматическое штрафование не позволят нормы </w:t>
      </w:r>
      <w:hyperlink w:history="1" r:id="rIdovmaqfz-owhwbywlazb94">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Кодекса Кыргызской Республики о нарушениях.</w:t>
      </w:r>
    </w:p>
    <w:p>
      <w:pPr>
        <w:spacing w:after="120"/>
        <w:jc w:val="both"/>
      </w:pPr>
      <w:r>
        <w:rPr>
          <w:rFonts w:ascii="Arial" w:cs="Arial" w:eastAsia="Arial" w:hAnsi="Arial"/>
          <w:sz w:val="24"/>
          <w:szCs w:val="24"/>
        </w:rPr>
        <w:t xml:space="preserve">Так, согласно нормам данной статьи, лицо, совершившее нарушение и подлежащее ответственности, обязано возместить причиненный вред.</w:t>
      </w:r>
    </w:p>
    <w:p>
      <w:pPr>
        <w:spacing w:after="120"/>
        <w:jc w:val="both"/>
      </w:pPr>
      <w:r>
        <w:rPr>
          <w:rFonts w:ascii="Arial" w:cs="Arial" w:eastAsia="Arial" w:hAnsi="Arial"/>
          <w:sz w:val="24"/>
          <w:szCs w:val="24"/>
        </w:rPr>
        <w:t xml:space="preserve">Нормативные правовые предписания по возмещению вреда и ущерба, причиняемого автомобильным дорогам транспортными средствами, осуществляющими перевозки тяжеловесных и крупногабаритных грузов, также содержатся в </w:t>
      </w:r>
      <w:hyperlink w:history="1" r:id="rIdmtg8ebsgo3ghgzd4homyn">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"Об автомобильных дорогах".</w:t>
      </w:r>
    </w:p>
    <w:p>
      <w:pPr>
        <w:spacing w:after="120"/>
        <w:jc w:val="both"/>
      </w:pPr>
      <w:r>
        <w:rPr>
          <w:rFonts w:ascii="Arial" w:cs="Arial" w:eastAsia="Arial" w:hAnsi="Arial"/>
          <w:sz w:val="24"/>
          <w:szCs w:val="24"/>
        </w:rPr>
        <w:t xml:space="preserve">В связи с этим, для внедрения модели автоматического штрафования за нарушение установленных весогабаритных норм необходимо внести изменения в указанные нормативные правовые акты.</w:t>
      </w:r>
    </w:p>
    <w:p>
      <w:pPr>
        <w:spacing w:after="120"/>
        <w:jc w:val="both"/>
      </w:pPr>
      <w:r>
        <w:rPr>
          <w:rFonts w:ascii="Arial" w:cs="Arial" w:eastAsia="Arial" w:hAnsi="Arial"/>
          <w:sz w:val="24"/>
          <w:szCs w:val="24"/>
        </w:rPr>
        <w:t xml:space="preserve">6. В справке-обосновании к законопроекту указано, что принятие предлагаемого законопроекта не повлечет дополнительных финансовых затрат из республиканского бюджета. Однако, как известно, на реализацию проекта "Безопасный город" из государственного бюджета были направлены определенные денежные средства. В свою очередь, для внедрения системы автоматического штрафования за нарушения весогабаритных норм необходимо составить технико-экономическое обоснование, с указанием затрат на установку необходимого оборудования, что в свою очередь, потребует финансирование из государственного бюджета.</w:t>
      </w:r>
    </w:p>
    <w:p>
      <w:pPr>
        <w:spacing w:after="120"/>
        <w:jc w:val="both"/>
      </w:pPr>
      <w:r>
        <w:rPr>
          <w:rFonts w:ascii="Arial" w:cs="Arial" w:eastAsia="Arial" w:hAnsi="Arial"/>
          <w:sz w:val="24"/>
          <w:szCs w:val="24"/>
        </w:rPr>
        <w:t xml:space="preserve">Кроме этого, в справке-обосновании к проекту Закона отсутствует анализ текущей ситуации, статистические данные о количестве нарушений, их отрицательных последствиях.</w:t>
      </w:r>
    </w:p>
    <w:p>
      <w:pPr>
        <w:spacing w:after="120"/>
        <w:jc w:val="both"/>
      </w:pPr>
      <w:r>
        <w:rPr>
          <w:rFonts w:ascii="Arial" w:cs="Arial" w:eastAsia="Arial" w:hAnsi="Arial"/>
          <w:sz w:val="24"/>
          <w:szCs w:val="24"/>
        </w:rPr>
        <w:t xml:space="preserve">Также необходимо учесть, что в соответствии со </w:t>
      </w:r>
      <w:r>
        <w:rPr>
          <w:rFonts w:ascii="Arial" w:cs="Arial" w:eastAsia="Arial" w:hAnsi="Arial"/>
          <w:sz w:val="24"/>
          <w:szCs w:val="24"/>
        </w:rPr>
        <w:t xml:space="preserve">статей 22</w:t>
      </w:r>
      <w:hyperlink w:history="1" r:id="rIdst4dodigfktxf_pgevo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Однако в справке-обосновании к законопроекту отсутствует информация о результатах общественного обсуждения.</w:t>
      </w:r>
    </w:p>
    <w:p>
      <w:pPr>
        <w:spacing w:after="120"/>
        <w:jc w:val="both"/>
      </w:pPr>
      <w:r>
        <w:rPr>
          <w:rFonts w:ascii="Arial" w:cs="Arial" w:eastAsia="Arial" w:hAnsi="Arial"/>
          <w:sz w:val="24"/>
          <w:szCs w:val="24"/>
        </w:rPr>
        <w:t xml:space="preserve">Вместе с тем, в соответствии со статей 19 названного </w:t>
      </w:r>
      <w:hyperlink w:history="1" r:id="rIds067f88_v4qk019v4nyy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проекты нормативных правовых актов, направленные на регулирование предпринимательской деятельности, подле</w:t>
      </w:r>
      <w:r>
        <w:rPr>
          <w:rFonts w:ascii="Arial" w:cs="Arial" w:eastAsia="Arial" w:hAnsi="Arial"/>
          <w:sz w:val="24"/>
          <w:szCs w:val="24"/>
        </w:rPr>
        <w:t xml:space="preserve">жат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При этом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необходимым доработать проекта Закона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lk5defcc3d0h8z5kw1">
      <w:r>
        <w:rPr>
          <w:rFonts w:ascii="Arial" w:cs="Arial" w:eastAsia="Arial" w:hAnsi="Arial"/>
          <w:color w:val="132D3F"/>
          <w:sz w:val="16"/>
          <w:szCs w:val="16"/>
          <w:u w:val="single"/>
        </w:rPr>
        <w:t xml:space="preserve">dalil.kg/document/157517</w:t>
      </w:r>
    </w:hyperlink>
  </w:p>
  <w:p>
    <w:pPr>
      <w:spacing w:after="0" w:before="40"/>
      <w:jc w:val="center"/>
    </w:pPr>
    <w:hyperlink w:history="1" r:id="rIdkf6lbnnhlcp0ane5usk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ntoibatpe4lafdgxuws" Type="http://schemas.openxmlformats.org/officeDocument/2006/relationships/hyperlink" Target="https://dalil.kg/document/203685#st_31" TargetMode="External"/><Relationship Id="rIdbxyczpxwjs1v8aubjcdie" Type="http://schemas.openxmlformats.org/officeDocument/2006/relationships/hyperlink" Target="https://dalil.kg/document/157517#pr" TargetMode="External"/><Relationship Id="rId27cgbj1hanmlryyhvhwnq" Type="http://schemas.openxmlformats.org/officeDocument/2006/relationships/hyperlink" Target="https://dalil.kg/document/111565" TargetMode="External"/><Relationship Id="rIdunzykkmzae3gwb1s-z5vg" Type="http://schemas.openxmlformats.org/officeDocument/2006/relationships/hyperlink" Target="https://dalil.kg/document/80" TargetMode="External"/><Relationship Id="rIdyxwlqds6cplcwz_mqbznk" Type="http://schemas.openxmlformats.org/officeDocument/2006/relationships/hyperlink" Target="https://dalil.kg/document/203685#st_31" TargetMode="External"/><Relationship Id="rIdzte0ce7vbhr6jkt6pw1yi" Type="http://schemas.openxmlformats.org/officeDocument/2006/relationships/hyperlink" Target="https://dalil.kg/document/111565" TargetMode="External"/><Relationship Id="rIdrykgnppvh6mcsmirdhhkh" Type="http://schemas.openxmlformats.org/officeDocument/2006/relationships/hyperlink" Target="https://dalil.kg/document/80" TargetMode="External"/><Relationship Id="rIdl_nmrsurb50at0cchw-rd" Type="http://schemas.openxmlformats.org/officeDocument/2006/relationships/hyperlink" Target="https://dalil.kg/document/111565#st_27" TargetMode="External"/><Relationship Id="rIdamvijmrnx985muaedahv5" Type="http://schemas.openxmlformats.org/officeDocument/2006/relationships/hyperlink" Target="https://dalil.kg/document/111565" TargetMode="External"/><Relationship Id="rIdtokqvnnkzabck2d6dbhm7" Type="http://schemas.openxmlformats.org/officeDocument/2006/relationships/hyperlink" Target="https://dalil.kg/document/111565" TargetMode="External"/><Relationship Id="rIdyy1t1klqc20kg0iadsgrr" Type="http://schemas.openxmlformats.org/officeDocument/2006/relationships/hyperlink" Target="https://dalil.kg/document/111565" TargetMode="External"/><Relationship Id="rId8h-znwwbr-8somflwsqio" Type="http://schemas.openxmlformats.org/officeDocument/2006/relationships/hyperlink" Target="https://dalil.kg/document/111565" TargetMode="External"/><Relationship Id="rId4vvylgwbblqfwy3zmvsog" Type="http://schemas.openxmlformats.org/officeDocument/2006/relationships/hyperlink" Target="https://dalil.kg/document/111565" TargetMode="External"/><Relationship Id="rIdt07yfhxdrksheit4xlbmz" Type="http://schemas.openxmlformats.org/officeDocument/2006/relationships/hyperlink" Target="https://dalil.kg/document/111565" TargetMode="External"/><Relationship Id="rIdi1nxw5cqgzap9pfyqets-" Type="http://schemas.openxmlformats.org/officeDocument/2006/relationships/hyperlink" Target="https://dalil.kg/document/83611" TargetMode="External"/><Relationship Id="rIdrxo81kpz3my2ip3vplfcw" Type="http://schemas.openxmlformats.org/officeDocument/2006/relationships/hyperlink" Target="https://dalil.kg/document/202591" TargetMode="External"/><Relationship Id="rIddeuvwyhdaxmjoq3z_ecdi" Type="http://schemas.openxmlformats.org/officeDocument/2006/relationships/hyperlink" Target="https://dalil.kg/document/111565#st_130" TargetMode="External"/><Relationship Id="rId_6e1ft5w8y3mmxajwzgo4" Type="http://schemas.openxmlformats.org/officeDocument/2006/relationships/hyperlink" Target="https://dalil.kg/document/157256" TargetMode="External"/><Relationship Id="rIdnipxqockfsac_wwxmmby-" Type="http://schemas.openxmlformats.org/officeDocument/2006/relationships/hyperlink" Target="https://dalil.kg/document/111565" TargetMode="External"/><Relationship Id="rId6pwzsynzukpgpzj9bgzuz" Type="http://schemas.openxmlformats.org/officeDocument/2006/relationships/hyperlink" Target="https://dalil.kg/document/111565" TargetMode="External"/><Relationship Id="rIdqtn-33binydovihoq_anv" Type="http://schemas.openxmlformats.org/officeDocument/2006/relationships/hyperlink" Target="https://dalil.kg/document/157256#st_130" TargetMode="External"/><Relationship Id="rIdsh_soxchbxoz2svkhbbwr" Type="http://schemas.openxmlformats.org/officeDocument/2006/relationships/hyperlink" Target="https://dalil.kg/document/157256" TargetMode="External"/><Relationship Id="rId3uskxapc3l85v32kvmolu" Type="http://schemas.openxmlformats.org/officeDocument/2006/relationships/hyperlink" Target="https://dalil.kg/document/202591" TargetMode="External"/><Relationship Id="rIddgcd1r_txrzalptscqcgt" Type="http://schemas.openxmlformats.org/officeDocument/2006/relationships/hyperlink" Target="https://dalil.kg/document/111565#st_130" TargetMode="External"/><Relationship Id="rIdieikmnae0hu02wio-xtsk" Type="http://schemas.openxmlformats.org/officeDocument/2006/relationships/hyperlink" Target="https://dalil.kg/document/80#st_18" TargetMode="External"/><Relationship Id="rIdsg-ajc31w_mbyrz3gri-d" Type="http://schemas.openxmlformats.org/officeDocument/2006/relationships/hyperlink" Target="https://dalil.kg/document/80#st_18" TargetMode="External"/><Relationship Id="rIdgtchvnyldkjddjkdnapcs" Type="http://schemas.openxmlformats.org/officeDocument/2006/relationships/hyperlink" Target="https://dalil.kg/document/80#st_19" TargetMode="External"/><Relationship Id="rIdleahujtojeyozglibtzju" Type="http://schemas.openxmlformats.org/officeDocument/2006/relationships/hyperlink" Target="https://dalil.kg/document/92756" TargetMode="External"/><Relationship Id="rIdibjp8xadnwfrfk5ognqc7" Type="http://schemas.openxmlformats.org/officeDocument/2006/relationships/hyperlink" Target="https://dalil.kg/document/80#st_26" TargetMode="External"/><Relationship Id="rIdmrvkc7qvq1uw3r-lzocg9" Type="http://schemas.openxmlformats.org/officeDocument/2006/relationships/hyperlink" Target="https://dalil.kg/document/80#st_18" TargetMode="External"/><Relationship Id="rIdovmaqfz-owhwbywlazb94" Type="http://schemas.openxmlformats.org/officeDocument/2006/relationships/hyperlink" Target="https://dalil.kg/document/111565#st_38" TargetMode="External"/><Relationship Id="rIdmtg8ebsgo3ghgzd4homyn" Type="http://schemas.openxmlformats.org/officeDocument/2006/relationships/hyperlink" Target="https://dalil.kg/document/80#st_26" TargetMode="External"/><Relationship Id="rIdst4dodigfktxf_pgevofi" Type="http://schemas.openxmlformats.org/officeDocument/2006/relationships/hyperlink" Target="https://dalil.kg/document/202591" TargetMode="External"/><Relationship Id="rIds067f88_v4qk019v4nyy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lk5defcc3d0h8z5kw1" Type="http://schemas.openxmlformats.org/officeDocument/2006/relationships/hyperlink" Target="https://dalil.kg/document/157517" TargetMode="External"/><Relationship Id="rIdkf6lbnnhlcp0ane5usk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2026-10-01T01:55:34.343Z</dcterms:created>
  <dcterms:modified xsi:type="dcterms:W3CDTF">2026-10-01T01:55:34.343Z</dcterms:modified>
</cp:coreProperties>
</file>

<file path=docProps/custom.xml><?xml version="1.0" encoding="utf-8"?>
<Properties xmlns="http://schemas.openxmlformats.org/officeDocument/2006/custom-properties" xmlns:vt="http://schemas.openxmlformats.org/officeDocument/2006/docPropsVTypes"/>
</file>