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fuxskzlegr991jyf3vvq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16 марта 2020 года № 157</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государственной гражданской службы и муниципальной службы</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ybilfkwj1qhneehj-his0">
        <w:r>
          <w:rPr>
            <w:rFonts w:ascii="Arial" w:cs="Arial" w:eastAsia="Arial" w:hAnsi="Arial"/>
            <w:i/>
            <w:iCs/>
            <w:color w:val="1D4ED8"/>
            <w:sz w:val="24"/>
            <w:szCs w:val="24"/>
            <w:u w:val="single"/>
          </w:rPr>
          <w:t xml:space="preserve">14 января 2022 года № 9</w:t>
        </w:r>
      </w:hyperlink>
      <w:r>
        <w:rPr>
          <w:rFonts w:ascii="Arial" w:cs="Arial" w:eastAsia="Arial" w:hAnsi="Arial"/>
          <w:i/>
          <w:iCs/>
          <w:sz w:val="24"/>
          <w:szCs w:val="24"/>
        </w:rPr>
        <w:t xml:space="preserve">)</w:t>
      </w:r>
    </w:p>
    <w:p>
      <w:pPr>
        <w:spacing w:after="48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совершенствования механизмов, регулирующих отдельные вопросы организации государственной гражданской службы и муниципальной службы, в соответствии со статьями </w:t>
      </w:r>
      <w:hyperlink w:history="1" r:id="rIdf7_nchwourn3cd69okyf0">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11vsgzhikh4djz0yhgwy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hgdz1-6p-k0u-ev94fq8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обучения государственных гражданских и муниципальных служащих Кыргызской Республики" от 11 августа 2014 года № 462 следующее изменение:</w:t>
      </w:r>
    </w:p>
    <w:p>
      <w:pPr>
        <w:spacing w:after="60"/>
        <w:ind w:firstLine="567"/>
        <w:jc w:val="both"/>
      </w:pPr>
      <w:r>
        <w:rPr>
          <w:rFonts w:ascii="Arial" w:cs="Arial" w:eastAsia="Arial" w:hAnsi="Arial"/>
          <w:sz w:val="24"/>
          <w:szCs w:val="24"/>
        </w:rPr>
        <w:t xml:space="preserve">в </w:t>
      </w:r>
      <w:hyperlink w:history="1" r:id="rIdrj-xwz5-apgkwjk_zfhw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государственном заказе на обучение государственных гражданских служащих и муниципальных служащих Кыргызской Республики, утвержденном вышеуказанным </w:t>
      </w:r>
      <w:hyperlink w:history="1" r:id="rIds2tp5mprq4u-cz2yy9cj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9 изложить в следующей редакции:</w:t>
      </w:r>
    </w:p>
    <w:p>
      <w:pPr>
        <w:spacing w:after="60"/>
        <w:ind w:firstLine="567"/>
        <w:jc w:val="both"/>
      </w:pPr>
      <w:r>
        <w:rPr>
          <w:rFonts w:ascii="Arial" w:cs="Arial" w:eastAsia="Arial" w:hAnsi="Arial"/>
          <w:sz w:val="24"/>
          <w:szCs w:val="24"/>
        </w:rPr>
        <w:t xml:space="preserve">"9. Уполномоченный государственный орган формирует проект Госзаказа по форме согласно приложению к настоящему Положению и направляет в Правительство Кыргызской Республики согласованный с государственными органами и органами местного самоуправления Кыргызской Республики проект решения Правительства Кыргызской Республики об утверждении Госзаказа не позднее 1 октября года, предшествующего году, на который формируется Госзаказ.".</w:t>
      </w:r>
    </w:p>
    <w:p>
      <w:pPr>
        <w:spacing w:after="60"/>
        <w:ind w:firstLine="567"/>
        <w:jc w:val="both"/>
      </w:pPr>
      <w:r>
        <w:rPr>
          <w:rFonts w:ascii="Arial" w:cs="Arial" w:eastAsia="Arial" w:hAnsi="Arial"/>
          <w:sz w:val="24"/>
          <w:szCs w:val="24"/>
        </w:rPr>
        <w:t xml:space="preserve">2. Внести в </w:t>
      </w:r>
      <w:hyperlink w:history="1" r:id="rIdyqrdkpdvq6jgj-zo4dsh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организации государственной гражданской службы и муниципальной службы" от 29 декабря 2016 года № 706 следующие изменения:</w:t>
      </w:r>
    </w:p>
    <w:p>
      <w:pPr>
        <w:spacing w:after="60"/>
        <w:ind w:firstLine="567"/>
        <w:jc w:val="both"/>
      </w:pPr>
      <w:r>
        <w:rPr>
          <w:rFonts w:ascii="Arial" w:cs="Arial" w:eastAsia="Arial" w:hAnsi="Arial"/>
          <w:sz w:val="24"/>
          <w:szCs w:val="24"/>
        </w:rPr>
        <w:t xml:space="preserve">1) в </w:t>
      </w:r>
      <w:hyperlink w:history="1" r:id="rIdcmrbttle5vw-x354hxvo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конкурса и служебного продвижения по государственной гражданской службе и муниципальной службе Кыргызской Республики, утвержденном вышеуказанным </w:t>
      </w:r>
      <w:hyperlink w:history="1" r:id="rIdzrrl04pfugjxsnd88kjt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23 признать утратившим силу;</w:t>
      </w:r>
    </w:p>
    <w:p>
      <w:pPr>
        <w:spacing w:after="60"/>
        <w:ind w:firstLine="567"/>
        <w:jc w:val="both"/>
      </w:pPr>
      <w:r>
        <w:rPr>
          <w:rFonts w:ascii="Arial" w:cs="Arial" w:eastAsia="Arial" w:hAnsi="Arial"/>
          <w:sz w:val="24"/>
          <w:szCs w:val="24"/>
        </w:rPr>
        <w:t xml:space="preserve">- в абзаце третьем пункта 27 слова "по основным и предметным тестам" исключить;</w:t>
      </w:r>
    </w:p>
    <w:p>
      <w:pPr>
        <w:spacing w:after="60"/>
        <w:ind w:firstLine="567"/>
        <w:jc w:val="both"/>
      </w:pPr>
      <w:r>
        <w:rPr>
          <w:rFonts w:ascii="Arial" w:cs="Arial" w:eastAsia="Arial" w:hAnsi="Arial"/>
          <w:sz w:val="24"/>
          <w:szCs w:val="24"/>
        </w:rPr>
        <w:t xml:space="preserve">- пункты 38-41 изложить в следующей редакции:</w:t>
      </w:r>
    </w:p>
    <w:p>
      <w:pPr>
        <w:spacing w:after="60"/>
        <w:ind w:firstLine="567"/>
        <w:jc w:val="both"/>
      </w:pPr>
      <w:r>
        <w:rPr>
          <w:rFonts w:ascii="Arial" w:cs="Arial" w:eastAsia="Arial" w:hAnsi="Arial"/>
          <w:sz w:val="24"/>
          <w:szCs w:val="24"/>
        </w:rPr>
        <w:t xml:space="preserve">"38. Проверка общих и профессиональных знаний, умений и навыков кандидатов проводится в виде тестирования в Центре тестирования.</w:t>
      </w:r>
    </w:p>
    <w:p>
      <w:pPr>
        <w:spacing w:after="60"/>
        <w:ind w:firstLine="567"/>
        <w:jc w:val="both"/>
      </w:pPr>
      <w:r>
        <w:rPr>
          <w:rFonts w:ascii="Arial" w:cs="Arial" w:eastAsia="Arial" w:hAnsi="Arial"/>
          <w:sz w:val="24"/>
          <w:szCs w:val="24"/>
        </w:rPr>
        <w:t xml:space="preserve">Этапы компьютерного тестирования подразделяются:</w:t>
      </w:r>
    </w:p>
    <w:p>
      <w:pPr>
        <w:spacing w:after="60"/>
        <w:ind w:firstLine="567"/>
        <w:jc w:val="both"/>
      </w:pPr>
      <w:r>
        <w:rPr>
          <w:rFonts w:ascii="Arial" w:cs="Arial" w:eastAsia="Arial" w:hAnsi="Arial"/>
          <w:sz w:val="24"/>
          <w:szCs w:val="24"/>
        </w:rPr>
        <w:t xml:space="preserve">1) на знание общего законодательства;</w:t>
      </w:r>
    </w:p>
    <w:p>
      <w:pPr>
        <w:spacing w:after="60"/>
        <w:ind w:firstLine="567"/>
        <w:jc w:val="both"/>
      </w:pPr>
      <w:r>
        <w:rPr>
          <w:rFonts w:ascii="Arial" w:cs="Arial" w:eastAsia="Arial" w:hAnsi="Arial"/>
          <w:sz w:val="24"/>
          <w:szCs w:val="24"/>
        </w:rPr>
        <w:t xml:space="preserve">2) на знание предметного законодательства;</w:t>
      </w:r>
    </w:p>
    <w:p>
      <w:pPr>
        <w:spacing w:after="60"/>
        <w:ind w:firstLine="567"/>
        <w:jc w:val="both"/>
      </w:pPr>
      <w:r>
        <w:rPr>
          <w:rFonts w:ascii="Arial" w:cs="Arial" w:eastAsia="Arial" w:hAnsi="Arial"/>
          <w:sz w:val="24"/>
          <w:szCs w:val="24"/>
        </w:rPr>
        <w:t xml:space="preserve">3) на выявление профессионально значимых личностных качеств кандидата.</w:t>
      </w:r>
    </w:p>
    <w:p>
      <w:pPr>
        <w:spacing w:after="60"/>
        <w:ind w:firstLine="567"/>
        <w:jc w:val="both"/>
      </w:pPr>
      <w:r>
        <w:rPr>
          <w:rFonts w:ascii="Arial" w:cs="Arial" w:eastAsia="Arial" w:hAnsi="Arial"/>
          <w:sz w:val="24"/>
          <w:szCs w:val="24"/>
        </w:rPr>
        <w:t xml:space="preserve">Целью тестирования является определение наиболее подготовленного кандидата на замещение вакантной административной должности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39. Кандидаты, получившие при прохождении компьютерного тестирования на знание общего законодательства не менее 50 процентов баллов, допускаются к этапу компьютерного тестирования на знание предметного законодательства.</w:t>
      </w:r>
    </w:p>
    <w:p>
      <w:pPr>
        <w:spacing w:after="60"/>
        <w:ind w:firstLine="567"/>
        <w:jc w:val="both"/>
      </w:pPr>
      <w:r>
        <w:rPr>
          <w:rFonts w:ascii="Arial" w:cs="Arial" w:eastAsia="Arial" w:hAnsi="Arial"/>
          <w:sz w:val="24"/>
          <w:szCs w:val="24"/>
        </w:rPr>
        <w:t xml:space="preserve">Кандидаты, получившие при прохождении компьютерного тестирования на знание предметного законодательства не менее 50 процентов баллов, допускаются к этапу компьютерного тестирования на выявление профессионально значимых личностных качеств кандидата.</w:t>
      </w:r>
    </w:p>
    <w:p>
      <w:pPr>
        <w:spacing w:after="60"/>
        <w:ind w:firstLine="567"/>
        <w:jc w:val="both"/>
      </w:pPr>
      <w:r>
        <w:rPr>
          <w:rFonts w:ascii="Arial" w:cs="Arial" w:eastAsia="Arial" w:hAnsi="Arial"/>
          <w:sz w:val="24"/>
          <w:szCs w:val="24"/>
        </w:rPr>
        <w:t xml:space="preserve">Лица, состоящие во внутреннем резерве кадров и Национальном резерве кадров, проходят упрощенное компьютерное тестирование только на знание предметного законодательства.</w:t>
      </w:r>
    </w:p>
    <w:p>
      <w:pPr>
        <w:spacing w:after="60"/>
        <w:ind w:firstLine="567"/>
        <w:jc w:val="both"/>
      </w:pPr>
      <w:r>
        <w:rPr>
          <w:rFonts w:ascii="Arial" w:cs="Arial" w:eastAsia="Arial" w:hAnsi="Arial"/>
          <w:sz w:val="24"/>
          <w:szCs w:val="24"/>
        </w:rPr>
        <w:t xml:space="preserve">40. Формат и количество вопросов по тестированию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Результаты тестирования оформляются протоколом и передаются Центром тестирования представителю конкурсной комиссии государственного органа, органа местного самоуправления, либо представителю службы управления персоналом/уполномоченному лицу по вопросам управления персоналом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Предметные тесты формируются уполномоченным государственным органом согласно перечню нормативных правовых актов Кыргызской Республики, который указан в тексте объявления о проведении конкурса. Предметные тесты должны соответствовать квалификационным требованиям и функциональным обязанностям по каждой должности, утвержденным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41. Один кандидат, набравший наибольшее количество баллов, определяемый путем сложения его результатов по всем этапам компьютерного тестирования, допускается к этапу собеседования.</w:t>
      </w:r>
    </w:p>
    <w:p>
      <w:pPr>
        <w:spacing w:after="60"/>
        <w:ind w:firstLine="567"/>
        <w:jc w:val="both"/>
      </w:pPr>
      <w:r>
        <w:rPr>
          <w:rFonts w:ascii="Arial" w:cs="Arial" w:eastAsia="Arial" w:hAnsi="Arial"/>
          <w:sz w:val="24"/>
          <w:szCs w:val="24"/>
        </w:rPr>
        <w:t xml:space="preserve">В случае если кандидаты получают равное количество баллов, между ними проводится повторное компьютерное тестирование до тех пор, пока не будет выявлен один кандидат, набравший наибольшее количество баллов по всем этапам компьютерного тестирования.";</w:t>
      </w:r>
    </w:p>
    <w:p>
      <w:pPr>
        <w:spacing w:after="60"/>
        <w:ind w:firstLine="567"/>
        <w:jc w:val="both"/>
      </w:pPr>
      <w:r>
        <w:rPr>
          <w:rFonts w:ascii="Arial" w:cs="Arial" w:eastAsia="Arial" w:hAnsi="Arial"/>
          <w:sz w:val="24"/>
          <w:szCs w:val="24"/>
        </w:rPr>
        <w:t xml:space="preserve">- дополнить пунктом 41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 При проведении конкурса среди лиц, состоящих во внутреннем резерве кадров и Национальном резерве кадров, к собеседованию допускается один кандидат, набравший наибольшее количество баллов по компьютерному тестированию на знание предметного законодательства.</w:t>
      </w:r>
    </w:p>
    <w:p>
      <w:pPr>
        <w:spacing w:after="60"/>
        <w:ind w:firstLine="567"/>
        <w:jc w:val="both"/>
      </w:pPr>
      <w:r>
        <w:rPr>
          <w:rFonts w:ascii="Arial" w:cs="Arial" w:eastAsia="Arial" w:hAnsi="Arial"/>
          <w:sz w:val="24"/>
          <w:szCs w:val="24"/>
        </w:rPr>
        <w:t xml:space="preserve">В случае если кандидаты получают равное количество баллов, между ними проводится повторное компьютерное тестирование на знание предметного законодательства до тех пор, пока не будет выявлен один кандидат, набравший наибольшее количество баллов на знание предметного законодательства.";</w:t>
      </w:r>
    </w:p>
    <w:p>
      <w:pPr>
        <w:spacing w:after="60"/>
        <w:ind w:firstLine="567"/>
        <w:jc w:val="both"/>
      </w:pPr>
      <w:r>
        <w:rPr>
          <w:rFonts w:ascii="Arial" w:cs="Arial" w:eastAsia="Arial" w:hAnsi="Arial"/>
          <w:sz w:val="24"/>
          <w:szCs w:val="24"/>
        </w:rPr>
        <w:t xml:space="preserve">- пункт 45 изложить в следующей редакции:</w:t>
      </w:r>
    </w:p>
    <w:p>
      <w:pPr>
        <w:spacing w:after="60"/>
        <w:ind w:firstLine="567"/>
        <w:jc w:val="both"/>
      </w:pPr>
      <w:r>
        <w:rPr>
          <w:rFonts w:ascii="Arial" w:cs="Arial" w:eastAsia="Arial" w:hAnsi="Arial"/>
          <w:sz w:val="24"/>
          <w:szCs w:val="24"/>
        </w:rPr>
        <w:t xml:space="preserve">"45. В ходе собеседования выясняются представления кандидата о будущей работе, ожидания, способность к ясному изложению мысли.";</w:t>
      </w:r>
    </w:p>
    <w:p>
      <w:pPr>
        <w:spacing w:after="60"/>
        <w:ind w:firstLine="567"/>
        <w:jc w:val="both"/>
      </w:pPr>
      <w:r>
        <w:rPr>
          <w:rFonts w:ascii="Arial" w:cs="Arial" w:eastAsia="Arial" w:hAnsi="Arial"/>
          <w:sz w:val="24"/>
          <w:szCs w:val="24"/>
        </w:rPr>
        <w:t xml:space="preserve">- пункты 48, 50 и 52 признать утратившими силу;</w:t>
      </w:r>
    </w:p>
    <w:p>
      <w:pPr>
        <w:spacing w:after="60"/>
        <w:ind w:firstLine="567"/>
        <w:jc w:val="both"/>
      </w:pPr>
      <w:r>
        <w:rPr>
          <w:rFonts w:ascii="Arial" w:cs="Arial" w:eastAsia="Arial" w:hAnsi="Arial"/>
          <w:sz w:val="24"/>
          <w:szCs w:val="24"/>
        </w:rPr>
        <w:t xml:space="preserve">- пункт 49 изложить в следующей редакции:</w:t>
      </w:r>
    </w:p>
    <w:p>
      <w:pPr>
        <w:spacing w:after="60"/>
        <w:ind w:firstLine="567"/>
        <w:jc w:val="both"/>
      </w:pPr>
      <w:r>
        <w:rPr>
          <w:rFonts w:ascii="Arial" w:cs="Arial" w:eastAsia="Arial" w:hAnsi="Arial"/>
          <w:sz w:val="24"/>
          <w:szCs w:val="24"/>
        </w:rPr>
        <w:t xml:space="preserve">"49. Конкурсная комиссия принимает решение о рекомендации на назначение на вакантную должность кандидата, допущенного к собеседованию, либо отклоняет его кандидатуру.</w:t>
      </w:r>
    </w:p>
    <w:p>
      <w:pPr>
        <w:spacing w:after="60"/>
        <w:ind w:firstLine="567"/>
        <w:jc w:val="both"/>
      </w:pPr>
      <w:r>
        <w:rPr>
          <w:rFonts w:ascii="Arial" w:cs="Arial" w:eastAsia="Arial" w:hAnsi="Arial"/>
          <w:sz w:val="24"/>
          <w:szCs w:val="24"/>
        </w:rPr>
        <w:t xml:space="preserve">Каждый член комиссии голосует только "за" или "против" рекомендации конкурсанта, допущенного к собеседованию.</w:t>
      </w:r>
    </w:p>
    <w:p>
      <w:pPr>
        <w:spacing w:after="60"/>
        <w:ind w:firstLine="567"/>
        <w:jc w:val="both"/>
      </w:pPr>
      <w:r>
        <w:rPr>
          <w:rFonts w:ascii="Arial" w:cs="Arial" w:eastAsia="Arial" w:hAnsi="Arial"/>
          <w:sz w:val="24"/>
          <w:szCs w:val="24"/>
        </w:rPr>
        <w:t xml:space="preserve">В случае если конкурсной комиссией принято решение не рекомендовать кандидатуру, допущенную к собеседованию, руководитель государственного органа, органа местного самоуправления принимает решение о проведении повторного конкурса (если конкурс был проведен среди лиц, состоящих во внутреннем резерве кадров и Национальном резерве кадров, то будет проводиться открытый конкурс. Если же был проведен открытый конкурс, то повторный конкурс будет проводиться среди лиц, состоящих во внутреннем резерве кадров и Национальном резерве кадров). При этом члены конкурсной комиссии, проголосовавшие против рекомендации кандидата, допущенного к собеседованию, должны представить письменное обоснование, которое прилагается к протоколу заседания конкурсной комиссии.</w:t>
      </w:r>
    </w:p>
    <w:p>
      <w:pPr>
        <w:spacing w:after="60"/>
        <w:ind w:firstLine="567"/>
        <w:jc w:val="both"/>
      </w:pPr>
      <w:r>
        <w:rPr>
          <w:rFonts w:ascii="Arial" w:cs="Arial" w:eastAsia="Arial" w:hAnsi="Arial"/>
          <w:sz w:val="24"/>
          <w:szCs w:val="24"/>
        </w:rPr>
        <w:t xml:space="preserve">При проведении повторного конкурса на ту же должность конкурсная комиссия не вправе отклонить кандидатуру конкурсанта, допущенного к собеседованию.</w:t>
      </w:r>
    </w:p>
    <w:p>
      <w:pPr>
        <w:spacing w:after="60"/>
        <w:ind w:firstLine="567"/>
        <w:jc w:val="both"/>
      </w:pPr>
      <w:r>
        <w:rPr>
          <w:rFonts w:ascii="Arial" w:cs="Arial" w:eastAsia="Arial" w:hAnsi="Arial"/>
          <w:sz w:val="24"/>
          <w:szCs w:val="24"/>
        </w:rPr>
        <w:t xml:space="preserve">Решение комиссии принимается простым большинством голосов ее членов, присутствующих на заседании. При равенстве голосов, голос председательствующего является решающим.</w:t>
      </w:r>
    </w:p>
    <w:p>
      <w:pPr>
        <w:spacing w:after="60"/>
        <w:ind w:firstLine="567"/>
        <w:jc w:val="both"/>
      </w:pPr>
      <w:r>
        <w:rPr>
          <w:rFonts w:ascii="Arial" w:cs="Arial" w:eastAsia="Arial" w:hAnsi="Arial"/>
          <w:sz w:val="24"/>
          <w:szCs w:val="24"/>
        </w:rPr>
        <w:t xml:space="preserve">Заседание конкурсной комиссии считается правомочным, если на нем присутствует не менее двух третей ее состава.";</w:t>
      </w:r>
    </w:p>
    <w:p>
      <w:pPr>
        <w:spacing w:after="60"/>
        <w:ind w:firstLine="567"/>
        <w:jc w:val="both"/>
      </w:pPr>
      <w:r>
        <w:rPr>
          <w:rFonts w:ascii="Arial" w:cs="Arial" w:eastAsia="Arial" w:hAnsi="Arial"/>
          <w:sz w:val="24"/>
          <w:szCs w:val="24"/>
        </w:rPr>
        <w:t xml:space="preserve">- в пункте 51 слово "конкурсантам" заменить словом "конкурсанту";</w:t>
      </w:r>
    </w:p>
    <w:p>
      <w:pPr>
        <w:spacing w:after="60"/>
        <w:ind w:firstLine="567"/>
        <w:jc w:val="both"/>
      </w:pPr>
      <w:r>
        <w:rPr>
          <w:rFonts w:ascii="Arial" w:cs="Arial" w:eastAsia="Arial" w:hAnsi="Arial"/>
          <w:sz w:val="24"/>
          <w:szCs w:val="24"/>
        </w:rPr>
        <w:t xml:space="preserve">- пункт 60 изложить в следующей редакции:</w:t>
      </w:r>
    </w:p>
    <w:p>
      <w:pPr>
        <w:spacing w:after="60"/>
        <w:ind w:firstLine="567"/>
        <w:jc w:val="both"/>
      </w:pPr>
      <w:r>
        <w:rPr>
          <w:rFonts w:ascii="Arial" w:cs="Arial" w:eastAsia="Arial" w:hAnsi="Arial"/>
          <w:sz w:val="24"/>
          <w:szCs w:val="24"/>
        </w:rPr>
        <w:t xml:space="preserve">"60. По итогам конкурса кандидаты, получившие при прохождении компьютерного тестирования не менее 70 процентов общего количества баллов, представляются конкурсной комиссией для зачисления во внутренний резерв кадров соответствующего государственного органа, органа местного самоуправления, за исключением кандидата, рекомендованного к назначению.";</w:t>
      </w:r>
    </w:p>
    <w:p>
      <w:pPr>
        <w:spacing w:after="60"/>
        <w:ind w:firstLine="567"/>
        <w:jc w:val="both"/>
      </w:pPr>
      <w:r>
        <w:rPr>
          <w:rFonts w:ascii="Arial" w:cs="Arial" w:eastAsia="Arial" w:hAnsi="Arial"/>
          <w:sz w:val="24"/>
          <w:szCs w:val="24"/>
        </w:rPr>
        <w:t xml:space="preserve">2) в </w:t>
      </w:r>
      <w:hyperlink w:history="1" r:id="rIdjqgxfnzaoaicz_dxd7xs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формирования и функционирования внутреннего резерва кадров государственного органа, органа местного самоуправления, утвержденном вышеуказанным </w:t>
      </w:r>
      <w:hyperlink w:history="1" r:id="rIdknvsjedit9tviol7osah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первый пункта 10 признать утратившим силу;</w:t>
      </w:r>
    </w:p>
    <w:p>
      <w:pPr>
        <w:spacing w:after="60"/>
        <w:ind w:firstLine="567"/>
        <w:jc w:val="both"/>
      </w:pPr>
      <w:r>
        <w:rPr>
          <w:rFonts w:ascii="Arial" w:cs="Arial" w:eastAsia="Arial" w:hAnsi="Arial"/>
          <w:sz w:val="24"/>
          <w:szCs w:val="24"/>
        </w:rPr>
        <w:t xml:space="preserve">3) в </w:t>
      </w:r>
      <w:hyperlink w:history="1" r:id="rId36z2mymb6km3swr_xrco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 утвержденном вышеуказанным </w:t>
      </w:r>
      <w:hyperlink w:history="1" r:id="rIdy3ju0t6dowwimzt5mcms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 изложить в следующей редакции:</w:t>
      </w:r>
    </w:p>
    <w:p>
      <w:pPr>
        <w:spacing w:after="60"/>
        <w:ind w:firstLine="567"/>
        <w:jc w:val="both"/>
      </w:pPr>
      <w:r>
        <w:rPr>
          <w:rFonts w:ascii="Arial" w:cs="Arial" w:eastAsia="Arial" w:hAnsi="Arial"/>
          <w:sz w:val="24"/>
          <w:szCs w:val="24"/>
        </w:rPr>
        <w:t xml:space="preserve">"6. Для тестирования кандидатов на замещение вакантных административных государственных должностей и административных муниципальных должностей используются следующие виды тестирования:</w:t>
      </w:r>
    </w:p>
    <w:p>
      <w:pPr>
        <w:spacing w:after="60"/>
        <w:ind w:firstLine="567"/>
        <w:jc w:val="both"/>
      </w:pPr>
      <w:r>
        <w:rPr>
          <w:rFonts w:ascii="Arial" w:cs="Arial" w:eastAsia="Arial" w:hAnsi="Arial"/>
          <w:sz w:val="24"/>
          <w:szCs w:val="24"/>
        </w:rPr>
        <w:t xml:space="preserve">1) тестирование на знание общего законодательства (далее - основной тест);</w:t>
      </w:r>
    </w:p>
    <w:p>
      <w:pPr>
        <w:spacing w:after="60"/>
        <w:ind w:firstLine="567"/>
        <w:jc w:val="both"/>
      </w:pPr>
      <w:r>
        <w:rPr>
          <w:rFonts w:ascii="Arial" w:cs="Arial" w:eastAsia="Arial" w:hAnsi="Arial"/>
          <w:sz w:val="24"/>
          <w:szCs w:val="24"/>
        </w:rPr>
        <w:t xml:space="preserve">2) тестирование на знание предметного законодательства (далее - предметный тест);</w:t>
      </w:r>
    </w:p>
    <w:p>
      <w:pPr>
        <w:spacing w:after="60"/>
        <w:ind w:firstLine="567"/>
        <w:jc w:val="both"/>
      </w:pPr>
      <w:r>
        <w:rPr>
          <w:rFonts w:ascii="Arial" w:cs="Arial" w:eastAsia="Arial" w:hAnsi="Arial"/>
          <w:sz w:val="24"/>
          <w:szCs w:val="24"/>
        </w:rPr>
        <w:t xml:space="preserve">3) тестирование на выявление профессионально значимых личностных качеств кандидата.";</w:t>
      </w:r>
    </w:p>
    <w:p>
      <w:pPr>
        <w:spacing w:after="60"/>
        <w:ind w:firstLine="567"/>
        <w:jc w:val="both"/>
      </w:pPr>
      <w:r>
        <w:rPr>
          <w:rFonts w:ascii="Arial" w:cs="Arial" w:eastAsia="Arial" w:hAnsi="Arial"/>
          <w:sz w:val="24"/>
          <w:szCs w:val="24"/>
        </w:rPr>
        <w:t xml:space="preserve">- абзац первый пункта 9 признать утратившим силу;</w:t>
      </w:r>
    </w:p>
    <w:p>
      <w:pPr>
        <w:spacing w:after="60"/>
        <w:ind w:firstLine="567"/>
        <w:jc w:val="both"/>
      </w:pPr>
      <w:r>
        <w:rPr>
          <w:rFonts w:ascii="Arial" w:cs="Arial" w:eastAsia="Arial" w:hAnsi="Arial"/>
          <w:sz w:val="24"/>
          <w:szCs w:val="24"/>
        </w:rPr>
        <w:t xml:space="preserve">- </w:t>
      </w:r>
      <w:hyperlink w:history="1" r:id="rIdvdrnwsjx_grhifgrp0ty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Положению изложить в редакции согласно </w:t>
      </w:r>
      <w:hyperlink w:history="1" r:id="rIdvdqc9sdz4xjqe6lntrrhb">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w:t>
      </w:r>
      <w:r>
        <w:rPr>
          <w:rFonts w:ascii="Arial" w:cs="Arial" w:eastAsia="Arial" w:hAnsi="Arial"/>
          <w:i/>
          <w:iCs/>
          <w:sz w:val="24"/>
          <w:szCs w:val="24"/>
        </w:rPr>
        <w:t xml:space="preserve">. (Утратил силу в соответствии с </w:t>
      </w:r>
      <w:hyperlink w:history="1" r:id="rIdgvhtrf--m7r8bmlww1jf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p>
    <w:p>
      <w:pPr>
        <w:spacing w:after="60"/>
        <w:ind w:firstLine="567"/>
        <w:jc w:val="both"/>
      </w:pPr>
      <w:r>
        <w:rPr>
          <w:rFonts w:ascii="Arial" w:cs="Arial" w:eastAsia="Arial" w:hAnsi="Arial"/>
          <w:sz w:val="24"/>
          <w:szCs w:val="24"/>
        </w:rPr>
        <w:t xml:space="preserve">4. Установить, что конкурсные процедуры, начатые до вступления в силу пункта 2 настоящего постановления, завершаются без учета изменений, установленных настоящим постановлением.</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семи дней со дня официального опубликования, за исключением пункта 2, который вступает в силу с 1 июня 2020 года.</w:t>
      </w:r>
    </w:p>
    <w:p>
      <w:pPr>
        <w:spacing w:after="60"/>
        <w:ind w:firstLine="567"/>
        <w:jc w:val="both"/>
      </w:pPr>
      <w:r>
        <w:rPr>
          <w:rFonts w:ascii="Arial" w:cs="Arial" w:eastAsia="Arial" w:hAnsi="Arial"/>
          <w:i/>
          <w:iCs/>
          <w:sz w:val="24"/>
          <w:szCs w:val="24"/>
        </w:rPr>
        <w:t xml:space="preserve">Опубликован в газете "Эркин Тоо" от 3 апреля 2020 года № 32(3104)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before="400"/>
        <w:jc w:val="center"/>
      </w:pPr>
      <w:r>
        <w:rPr>
          <w:rFonts w:ascii="Arial" w:cs="Arial" w:eastAsia="Arial" w:hAnsi="Arial"/>
          <w:b/>
          <w:bCs/>
          <w:sz w:val="32"/>
          <w:szCs w:val="32"/>
        </w:rPr>
        <w:t xml:space="preserve">ПРОТОКОЛ
 результатов тестирования кандидатов на замещение вакантных административных государственных должностей/административных муниципальных должностей в</w:t>
      </w:r>
    </w:p>
    <w:p>
      <w:pPr>
        <w:spacing w:after="60"/>
        <w:jc w:val="center"/>
      </w:pPr>
      <w:r>
        <w:rPr>
          <w:rFonts w:ascii="Arial" w:cs="Arial" w:eastAsia="Arial" w:hAnsi="Arial"/>
          <w:sz w:val="24"/>
          <w:szCs w:val="24"/>
        </w:rPr>
        <w:t xml:space="preserve">_________________________________________________________________
 (наименование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______________________ 202__ г.</w:t>
      </w:r>
    </w:p>
    <w:p>
      <w:pPr>
        <w:spacing w:after="60"/>
        <w:ind w:firstLine="567"/>
        <w:jc w:val="both"/>
      </w:pPr>
      <w:r>
        <w:rPr>
          <w:rFonts w:ascii="Arial" w:cs="Arial" w:eastAsia="Arial" w:hAnsi="Arial"/>
          <w:sz w:val="24"/>
          <w:szCs w:val="24"/>
        </w:rPr>
        <w:t xml:space="preserve">Время: _________________________________</w:t>
      </w:r>
    </w:p>
    <w:p>
      <w:pPr>
        <w:spacing w:after="200" w:before="200"/>
        <w:jc w:val="center"/>
      </w:pPr>
      <w:r>
        <w:rPr>
          <w:rFonts w:ascii="Arial" w:cs="Arial" w:eastAsia="Arial" w:hAnsi="Arial"/>
          <w:b/>
          <w:bCs/>
          <w:sz w:val="32"/>
          <w:szCs w:val="32"/>
        </w:rPr>
        <w:t xml:space="preserve">Результаты тестирования: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
        <w:gridCol w:w="1393"/>
        <w:gridCol w:w="1529"/>
        <w:gridCol w:w="1659"/>
        <w:gridCol w:w="5367"/>
      </w:tblGrid>
      <w:tr>
        <w:tc>
          <w:tcPr>
            <w:tcW w:type="dxa" w:w="2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1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 по основному тесту</w:t>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 по предметному тесту</w:t>
            </w:r>
          </w:p>
        </w:tc>
        <w:tc>
          <w:tcPr>
            <w:tcW w:type="dxa" w:w="5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 по тестированию на выявление профессионально значимых личностных качеств кандидата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должности</w:t>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uxskzlegr991jyf3vvqo" Type="http://schemas.openxmlformats.org/officeDocument/2006/relationships/hyperlink" Target="http://kodeks.duckdns.org/document/159885" TargetMode="External"/><Relationship Id="rIdybilfkwj1qhneehj-his0" Type="http://schemas.openxmlformats.org/officeDocument/2006/relationships/hyperlink" Target="http://kodeks.duckdns.org/document/158975" TargetMode="External"/><Relationship Id="rIdf7_nchwourn3cd69okyf0" Type="http://schemas.openxmlformats.org/officeDocument/2006/relationships/hyperlink" Target="http://kodeks.duckdns.org/document/203685#st_10" TargetMode="External"/><Relationship Id="rId11vsgzhikh4djz0yhgwyt" Type="http://schemas.openxmlformats.org/officeDocument/2006/relationships/hyperlink" Target="http://kodeks.duckdns.org/document/203685#st_17" TargetMode="External"/><Relationship Id="rIdhgdz1-6p-k0u-ev94fq8x" Type="http://schemas.openxmlformats.org/officeDocument/2006/relationships/hyperlink" Target="http://kodeks.duckdns.org/document/96812" TargetMode="External"/><Relationship Id="rIdrj-xwz5-apgkwjk_zfhwd" Type="http://schemas.openxmlformats.org/officeDocument/2006/relationships/hyperlink" Target="http://kodeks.duckdns.org/document/96814" TargetMode="External"/><Relationship Id="rIds2tp5mprq4u-cz2yy9cjg" Type="http://schemas.openxmlformats.org/officeDocument/2006/relationships/hyperlink" Target="http://kodeks.duckdns.org/document/96812" TargetMode="External"/><Relationship Id="rIdyqrdkpdvq6jgj-zo4dshm" Type="http://schemas.openxmlformats.org/officeDocument/2006/relationships/hyperlink" Target="http://kodeks.duckdns.org/document/99690" TargetMode="External"/><Relationship Id="rIdcmrbttle5vw-x354hxvoy" Type="http://schemas.openxmlformats.org/officeDocument/2006/relationships/hyperlink" Target="http://kodeks.duckdns.org/document/99691" TargetMode="External"/><Relationship Id="rIdzrrl04pfugjxsnd88kjt2" Type="http://schemas.openxmlformats.org/officeDocument/2006/relationships/hyperlink" Target="http://kodeks.duckdns.org/document/99690" TargetMode="External"/><Relationship Id="rIdjqgxfnzaoaicz_dxd7xsy" Type="http://schemas.openxmlformats.org/officeDocument/2006/relationships/hyperlink" Target="http://kodeks.duckdns.org/document/99695" TargetMode="External"/><Relationship Id="rIdknvsjedit9tviol7osahq" Type="http://schemas.openxmlformats.org/officeDocument/2006/relationships/hyperlink" Target="http://kodeks.duckdns.org/document/99690" TargetMode="External"/><Relationship Id="rId36z2mymb6km3swr_xrcod" Type="http://schemas.openxmlformats.org/officeDocument/2006/relationships/hyperlink" Target="http://kodeks.duckdns.org/document/99697" TargetMode="External"/><Relationship Id="rIdy3ju0t6dowwimzt5mcms1" Type="http://schemas.openxmlformats.org/officeDocument/2006/relationships/hyperlink" Target="http://kodeks.duckdns.org/document/99690" TargetMode="External"/><Relationship Id="rIdvdrnwsjx_grhifgrp0tys" Type="http://schemas.openxmlformats.org/officeDocument/2006/relationships/hyperlink" Target="http://kodeks.duckdns.org/document/99697#p2" TargetMode="External"/><Relationship Id="rIdvdqc9sdz4xjqe6lntrrhb" Type="http://schemas.openxmlformats.org/officeDocument/2006/relationships/hyperlink" Target="http://kodeks.duckdns.org/document/157523#pr" TargetMode="External"/><Relationship Id="rIdgvhtrf--m7r8bmlww1jfw"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2026-09-23T12:48:44.452Z</dcterms:created>
  <dcterms:modified xsi:type="dcterms:W3CDTF">2026-09-23T12:48:44.452Z</dcterms:modified>
</cp:coreProperties>
</file>

<file path=docProps/custom.xml><?xml version="1.0" encoding="utf-8"?>
<Properties xmlns="http://schemas.openxmlformats.org/officeDocument/2006/custom-properties" xmlns:vt="http://schemas.openxmlformats.org/officeDocument/2006/docPropsVTypes"/>
</file>