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постановлению Правительства Кыргызской Республики от 8 мая 2020 года № 241)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заключения, перезаключения, приостановления и расторжения налогового контракта об уплате налогов в виде фиксированных сумм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qm-hlkf_fsp7f7-htd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заключения, перезаключения, приостановления и расторжения налогового контракта об уплате налогов в виде фиксированных сумм (далее - Порядок) разработан в соответствии с главой 56 Налогового </w:t>
      </w:r>
      <w:hyperlink w:history="1" r:id="rId3vdmn5mqmtilrlgjuz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 и индивидуальные предприниматели (далее - субъекты предпринимательства), осуществляющие предпринимательскую деятельность, имеют право уплачивать налоги на основе налогового контракта (далее - контракт).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Контрактом определяется согласование между субъектом предпринимательства и органом налоговой службы налогового обязательства налогоплательщика в размере фиксированных сумм следующих видов налогов: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НДС на облагаемые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Заключившие контракт субъекты предпринимательства предоставляют отчеты по налогам, не предусмотренным в контракте, в налоговый орган по месту налоговой (учетной) регистрации с последующей уплатой денежных средств в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Расчет фиксированной суммы налога по контракту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j2ylofqgod5syerzstm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субъектам общественного питания и курортно-оздоровительных учреждений, впервые заключающим контракт, налоговый орган обязан произвести анализ отчетных данных за последние 3 полных календарных месяца, учитывая результаты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анализа объекта общественного питания необходимо учитывать месторасположение данного объекта, площадь зимнего и/или летнего помещения (площадки), количество посадочных мест, стоимость проведения банкетов, сезонность и режим работы, стоимость по меню и предоставление дополнительных услуг ("LED-экран", видео-фотоуслуги, флористы и другие сопутствующие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анализа объекта курортно-оздоровительного учреждения необходимо учитывать месторасположение объекта, номерной фонд, количество койко-мест, стоимость проживания, сезонность работы, стоимость проведения банкетов, наличие конференц-зала, предоставление дополнительных услуг (лечебные процедуры, водные аттракционы, услуги по предоставлению скутера, катамарана, парашюта и т.п.) и зимние услуги (подъемник, прокат лыжного снаряжения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имеющиеся данные, отраженные в пункте 14 настоящего Порядка, необходимо приложить к заявлению формы STI-118.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8ekyo1vroztacfvcil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 налогового обязательства для субъектов общественного питания и курортно-оздоровительного учреждения определяется по формулам, если субъект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плательщиком по НДС: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НсП = (Т * 3% налог с продаж) / 1,03;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= (Т - НсП) * Р * 10% налог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плательщиком по НДС: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НсП - (Т * 2% налог с продаж) / 1,14;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НДС = (Т * 12% НДС) / 1,14 /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= (Т - НсП - НДС) * Р * 10% налог на прибыль,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товарооборот;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рентабельность (рентабельность от операционной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анализа экономической деятельности субъекта предпринимательства налоговому органу необходимо выбрать наибольшую сумму уплаченных налогов для определения суммы налогового обязательства по контракту.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данные по результатам налогового поста меньше сумм отчетных данных, то для заключения контракта применяется наивысший показатель по отчетным данным за соответствующий период, по согласованию с субъектом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период действия контракта, в случае наличия документально подтвержденных фактов об изменении налоговой базы, для определения суммы налогового обязательства по контракту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отношениях субъектов общественного питания и курортно-оздоровительных учреждений установить налоговый пост;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обследование других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материалы передаются налоговым органом в уполномоченный налоговый орган для внесения на соответствующую комиссию по рассмотрению и согласованию контрактов по пересмотру сумм налоговых обязательств по контракту.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lpz3-iorjpl2aupn-pt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застройщика жилья сумма налогового обязательства определяется в соответствии с требованиями статьи 370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строительства объекта с долевым участием обязанность по уплате налогов по контракту возникает у застройщика жилья в целом по объекту жилого сооружения, при этом сумма налогового обязательства определяется по общей реализуемой площади жилых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определении налогового обязательства объекта жилого сооружения необходимо учитывать стоимость 1 квадратного метра, месторасположение объекта и количество реализованных квартир.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данные необходимо приложить к заявлению формы STI-141.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Решение о возможности применения или отказе в применении режима на основе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возможности применения субъектом предпринимательства режима на основе контракта или мотивированный отказ в его применении выносятся налоговым органом по форме STI-120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в течение 15 дней со дня, следующего за днем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Отказ в возможности применения режима на основе контракта с застройщиком жилья применяется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действия контракта превышает дату ввода в эксплуатацию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отклонение суммы налогового обязательства от общего налогового режима и фиксированной суммы по контракту составляет более 50 процентов согласно нижеприведенному расчету.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(Примерный расчет)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 сумм налогов
 по контракту и на общем режиме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6"/>
        <w:gridCol w:w="1547"/>
        <w:gridCol w:w="1533"/>
        <w:gridCol w:w="1065"/>
        <w:gridCol w:w="1065"/>
        <w:gridCol w:w="1065"/>
        <w:gridCol w:w="1065"/>
        <w:gridCol w:w="626"/>
        <w:gridCol w:w="626"/>
      </w:tblGrid>
      <w:tr>
        <w:tc>
          <w:tcPr>
            <w:tcW w:type="dxa" w:w="15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реализации жилых помещений (кв.м)</w:t>
            </w:r>
          </w:p>
        </w:tc>
        <w:tc>
          <w:tcPr>
            <w:tcW w:type="dxa" w:w="1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 контракту
 (гр. 1 х 1,2 х 900 сом) (тыс. сом)</w:t>
            </w:r>
          </w:p>
        </w:tc>
        <w:tc>
          <w:tcPr>
            <w:tcW w:type="dxa" w:w="1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реализации за 1 кв.м
 (800 $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70)</w:t>
            </w:r>
          </w:p>
        </w:tc>
        <w:tc>
          <w:tcPr>
            <w:tcW w:type="dxa" w:w="42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суммы налогового обязательства от общего режима</w:t>
            </w:r>
          </w:p>
        </w:tc>
        <w:tc>
          <w:tcPr>
            <w:tcW w:type="dxa" w:w="12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выручки
 (гр. 1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гр. 3) (тыс. сом)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НсП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 4 / 1,02 х 2%)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НнП
 (гр. 4 - гр. 5) / 1,2 х 20% х 10%, где (рент. 20%)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(тыс. сом)</w:t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(+; -)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 2 - гр. 7)</w:t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1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7560,0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392000,0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7686,3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6405,3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14091,5</w:t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-6531,5</w:t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принятия решения о возможности применения субъектом предпринимательства режима на основе контракта налоговым органом, по согласованию с уполномоченным налоговым органом, заключается контракт с субъектом предпринимательства в течение 15 рабочих</w:t>
      </w:r>
      <w:r>
        <w:rPr>
          <w:rFonts w:ascii="Arial" w:cs="Arial" w:eastAsia="Arial" w:hAnsi="Arial"/>
          <w:sz w:val="24"/>
          <w:szCs w:val="24"/>
        </w:rPr>
        <w:t xml:space="preserve"> дней со дня, следующего за днем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Уполномоченным налоговым органом создается комиссия по рассмотрению и согласованию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Состав и регламент работы комиссии определяется приказом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основании решения комиссии уполномоченным налоговым органом в адрес налогового органа направляется соответствующее письмо о согласовании или отказе в согласовании налогового контракта. В случае согласования в бланках налогового контракта курирующим заместителем председателя уполномоченного налогового органа подписывается контракт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ликвидации, расторжения договора аренды нежилого помещения (объект предпринимательства), закрытия и перепрофилирования объекта субъектом предпринимательства подается соответствующее заявление в налоговый орган о расторжении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Налоговым органом в течение 3-х рабочих дней проводится обследование объекта, составляется акт налогового контроля и/или акт обследования, производится фото-видеосъемка, снимается копия договора аренды, устанавливается новый владелец или арендатор и направляются имеющиеся материалы в уполномоченный налоговый орган для дальнейшего рассмотрения возможности расторжения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ходе проведения налогового контроля органом налоговой службы при выявлении изменений налогооблагаемой базы, не соответствующих условиям, предусмотренным в контракте (изменение площади жилого помещения, площади летней площадки и/или зимнего зала, количества посадочных мест, сезонности и режима работы, оказания дополнительных услуг, не включенных в контракт, месторасположения объекта, результатов по итогам установленного налогового поста и др.), заключенный контракт подлежит расторжению.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Заявление о расторжении контракта, представленное субъектом после дня, следующего за 15 числом месяца, не подлежит рассмотрению налоговым органом, и налоговые обязательства по контракту за текущий месяц подлежат оплате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ubg27f82f3yzgcf-w5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Перезаключение налогового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Субъект предпринимательства, за исключением застройщика жилья, намеренный перезаключить контракт на следующий налоговый период, обязан подать заявление в налоговый орган как плательщик налогов на основе налогового контракта не позднее дня, следующего за 1 ноября года, предшествующего году перезаключения контракта, где сумма налогового обязательства принимается в размере, превышающем сумму налогового обязательства за предшествующий календарный год, не менее чем на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изменении налогооблагаемой базы субъекты общественного питания и курортно-оздоровительных учреждений обязаны уведомить налоговый орган путем подачи заявления для перезаключения контракта на тот же период, при этом сумма налогового обязательства определяется на основании результатов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застройщика жилья перезаключение контракта проводится в случае изменения площади жилых помещений, где срок действия контракта не должен превышать 36 последовательных месяцев с месяца заключения первоначального контракта, при этом ранее указанная сумма налогового обязательства остается без изменений до даты подачи заявления о перезаключении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получения налоговым органом заявления о перезаключении контракта налоговый орган обязан провести обследование объекта и/или соответствующий налоговый контроль, после чего направить имеющиеся материалы в уполномоченный налоговый орган для дальнейшего рассмотрения возможности перезаключения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налоговый орган на основании представленных налоговым органом документов изучает соответствующие материалы и письменно уведомляет налоговый орган о результатах рассмотрения перезаключения налоговых контрактов.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Приостановление налогового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возникновения обстоятельств непреодолимой силы или приостановления деятельности в связи с капитальным ремонтом объекта предпринимательства (точка торговли или услуги), субъект предпринимательства вправе подать соответствующее заявление в налоговый орган о приостановлении действия контракта на определенный период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3sbd4vrd5okpjynwmn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Налоговым органом в течение 3-х рабочих дней с момента подачи заявления проводится обследование объекта, составляется акт налогового контроля и/или акт обследования, производится фото-видеосъемка, и все материалы направляются в уполномоченный налоговый орган для дальнейшего рассмотрения возможности приостановления действия контракта на определенный период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q0gw7lfnhojygigjhj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налоговый орган рассматривает представленные налоговым органом материалы, и по итогам рассмотрения направляет соответствующий ответ налоговому органу о согласии (где указывается период времени приостановления действия контракта и сумма уменьшения налогового обязательства по контракту) или отказе в приостановлении действия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nobbjn2rlrk54q_apd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</w:t>
      </w:r>
      <w:hyperlink w:history="1" r:id="rIdctfk9jhl0xawp8l4ils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Налоговый орган в течение 3-х рабочих дней обязан вынести решение о приостановлении контракта по форме STI-119 согласно приложению 4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cydnr8fh8ey45tezrh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период приостановления действия налогового контракта субъект, осуществляющий деятельность путем обслуживания на вынос и/или доставки товаров, работ и услуг, обязан исчислять и оплачивать в соответствии с Налоговым </w:t>
      </w:r>
      <w:hyperlink w:history="1" r:id="rIdnprx4p716puwynmblzl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налоги от суммы выручки от реализации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elq3dr6ps-e1u22cft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Заявление о приостановлении действия контракта, представленное субъектом после дня, следующего за 15 числом месяца (за исключением периода времени, в котором действовала непреодолимая сила), не подлежит рассмотрению налоговым органом, и налоговые обязательства по контракту за текущий месяц подлежат оплате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bfzcpcd52qpj9q9ekc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Обязанности органа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 налоговой службы обязан осуществлять контроль по сбору налогов от субъекта предпринимательства в виде фиксированной суммы налогов в размерах, определенных условиями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 период действия контракта по налогам, включенным в сумму контракта, выездная налоговая проверка, за исключением встречной проверки, не проводится. Остальные формы налогового контроля осуществляются в соответствии с Налоговым </w:t>
      </w:r>
      <w:hyperlink w:history="1" r:id="rIdnjmomrbyxou0m8tsfh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 налоговой службы по согласованию с субъектом предпринимательства имеет право заключить, перезаключить, приостановить, внести изменения и расторгнуть контракт.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Обязанности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Субъект предпринимательства обязан исполнять налоговое обязательство согласно условиям контракта,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Субъект предпринимательства обязан представлять за отчетный год единую налоговую декларацию и другие расчеты, сведения и отчеты согласно требованиям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заключения, перезаключения, приостановления и расторжения налогового контракта об уплате налогов в виде фиксированных сумм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ORM STI</w:t>
      </w:r>
      <w:r>
        <w:rPr>
          <w:rFonts w:ascii="Arial" w:cs="Arial" w:eastAsia="Arial" w:hAnsi="Arial"/>
          <w:sz w:val="24"/>
          <w:szCs w:val="24"/>
        </w:rPr>
        <w:t xml:space="preserve">-118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от налогоплательщика на заключение, перезаключение, приостановление и расторжение налогового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заключения, перезаключения, приостановления и расторжения налогового контракта об уплате налогов в виде фиксированных сумм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ORM STI</w:t>
      </w:r>
      <w:r>
        <w:rPr>
          <w:rFonts w:ascii="Arial" w:cs="Arial" w:eastAsia="Arial" w:hAnsi="Arial"/>
          <w:sz w:val="24"/>
          <w:szCs w:val="24"/>
        </w:rPr>
        <w:t xml:space="preserve">-141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от налогоплательщика на заключение, перезаключение, приостановление и расторжение налогового контракта с застройщиком жилья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заключения, перезаключения, приостановления и расторжения налогового контракта об уплате налогов в виде фиксированных сумм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о возможности применения или отказе в применении режима на основе налогового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заключения, перезаключения, приостановления и расторжения налогового контракта об уплате налогов в виде фиксированных сумм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о расторжении или приостановлении налогового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lqgqxdrdlcoy76-oy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dalil.kg/document/157544</w:t>
      </w:r>
    </w:hyperlink>
  </w:p>
  <w:p>
    <w:pPr>
      <w:spacing w:after="0" w:before="40"/>
      <w:jc w:val="center"/>
    </w:pPr>
    <w:hyperlink w:history="1" r:id="rIduiffxcsun5714xuj8mc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m-hlkf_fsp7f7-htdyn" Type="http://schemas.openxmlformats.org/officeDocument/2006/relationships/hyperlink" Target="https://dalil.kg/document/158942" TargetMode="External"/><Relationship Id="rId3vdmn5mqmtilrlgjuzvxf" Type="http://schemas.openxmlformats.org/officeDocument/2006/relationships/hyperlink" Target="https://dalil.kg/document/202445" TargetMode="External"/><Relationship Id="rIdj2ylofqgod5syerzstmcq" Type="http://schemas.openxmlformats.org/officeDocument/2006/relationships/hyperlink" Target="https://dalil.kg/document/158942" TargetMode="External"/><Relationship Id="rIdn8ekyo1vroztacfvcil3s" Type="http://schemas.openxmlformats.org/officeDocument/2006/relationships/hyperlink" Target="https://dalil.kg/document/158942" TargetMode="External"/><Relationship Id="rIdlpz3-iorjpl2aupn-ptyf" Type="http://schemas.openxmlformats.org/officeDocument/2006/relationships/hyperlink" Target="https://dalil.kg/document/158942" TargetMode="External"/><Relationship Id="rIdlubg27f82f3yzgcf-w5zi" Type="http://schemas.openxmlformats.org/officeDocument/2006/relationships/hyperlink" Target="https://dalil.kg/document/158942" TargetMode="External"/><Relationship Id="rIdy3sbd4vrd5okpjynwmnt5" Type="http://schemas.openxmlformats.org/officeDocument/2006/relationships/hyperlink" Target="https://dalil.kg/document/158942" TargetMode="External"/><Relationship Id="rIdrq0gw7lfnhojygigjhj6k" Type="http://schemas.openxmlformats.org/officeDocument/2006/relationships/hyperlink" Target="https://dalil.kg/document/158942" TargetMode="External"/><Relationship Id="rIdenobbjn2rlrk54q_apdfi" Type="http://schemas.openxmlformats.org/officeDocument/2006/relationships/hyperlink" Target="https://dalil.kg/document/158942" TargetMode="External"/><Relationship Id="rIdctfk9jhl0xawp8l4ils0p" Type="http://schemas.openxmlformats.org/officeDocument/2006/relationships/hyperlink" Target="https://dalil.kg/document/158942" TargetMode="External"/><Relationship Id="rIdccydnr8fh8ey45tezrh1z" Type="http://schemas.openxmlformats.org/officeDocument/2006/relationships/hyperlink" Target="https://dalil.kg/document/158942" TargetMode="External"/><Relationship Id="rIdnprx4p716puwynmblzl3q" Type="http://schemas.openxmlformats.org/officeDocument/2006/relationships/hyperlink" Target="https://dalil.kg/document/202445" TargetMode="External"/><Relationship Id="rId1elq3dr6ps-e1u22cftsh" Type="http://schemas.openxmlformats.org/officeDocument/2006/relationships/hyperlink" Target="https://dalil.kg/document/158942" TargetMode="External"/><Relationship Id="rIdbbfzcpcd52qpj9q9ekc4x" Type="http://schemas.openxmlformats.org/officeDocument/2006/relationships/hyperlink" Target="https://dalil.kg/document/158942" TargetMode="External"/><Relationship Id="rIdnjmomrbyxou0m8tsfhwt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lqgqxdrdlcoy76-oykt" Type="http://schemas.openxmlformats.org/officeDocument/2006/relationships/hyperlink" Target="https://dalil.kg/document/157544" TargetMode="External"/><Relationship Id="rIduiffxcsun5714xuj8mc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2026-09-30T21:05:44.729Z</dcterms:created>
  <dcterms:modified xsi:type="dcterms:W3CDTF">2026-09-30T21:05:44.729Z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