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 к инфраструктуре, техническому оснащению и режиму работы складов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временного хранения, таможенных складов и складов электронной торговли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i3veyfyyu3_rjrvzdh5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q0bnmpen8yhnf2rz7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со статьями </w:t>
      </w:r>
      <w:hyperlink w:history="1" r:id="rIdfmrvdiy-fmn2mwcebuz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na7lrvhrof7fkc4vxb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и определяют условия при обустройстве и оборудовании складов временного хранения и таможенных складов.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Требованиях используются термины и определения в значениях, установленных Таможенным кодексом Евразийского экономического союза, регулирующими таможенные правоотношения международными договорами и актами, составляющими право Евразийского экономического союза, законодательством Кыргызской Республики в сфере таможенного дела, а также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склад временного хранения - специально определенные и обустроенные сооружения, помещения (части помещений) и (или) открытые площадки, предназначенные для временного хранения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таможенный склад открытого типа - склад, предназначенный для хранения любых товаров и использования любыми лицами, обладающими полномочиями в отношении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таможенный склад закрытого типа - склад, предназначенный для хранения товаров владельца таможенного склада и (или) отдельных лиц, определенных владельцем при учреждении такого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склад электронной торговли –</w:t>
      </w:r>
      <w:r>
        <w:rPr>
          <w:rFonts w:ascii="Arial" w:cs="Arial" w:eastAsia="Arial" w:hAnsi="Arial"/>
          <w:sz w:val="24"/>
          <w:szCs w:val="24"/>
        </w:rPr>
        <w:t xml:space="preserve"> сооружения, помещения (части помещений) и (или) открытые площадки (части открытых площадок), в том числе находящиеся в местах (учреждениях) международного почтового обмена, предназначенные для временного хранения товаров электронной торговли и (или) хранения товаров электронной торговли, помещенных под таможенную процедуру таможенного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9rolmkdyscrststg-g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Склады временного хранения, таможенные склады и склады электронной торговли</w:t>
      </w:r>
      <w:r>
        <w:rPr>
          <w:rFonts w:ascii="Arial" w:cs="Arial" w:eastAsia="Arial" w:hAnsi="Arial"/>
          <w:sz w:val="24"/>
          <w:szCs w:val="24"/>
        </w:rPr>
        <w:t xml:space="preserve"> (далее в настоящей главе - склады), должны быть обустроены и оборудованы таким образом,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сохранность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доступ к ним посторонних лиц (не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возможность проведения в отношении этих товаров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6ux5u1rx_1uqzjfqyn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Склады должны соответствовать требованиям пожарной безопасности, санитарно-эпидемиологическим и техническим нормам, установленным нормативными правовыми актами Кыргызской Республики, подтверждаемыми соответствующими заключениями уполномоченных государственных органов в сфере пожарной безопасности, санитарно-эпидемиологических и технических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Территория складов не должна включать объекты, не связанные с функционированием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Склады не могут располагаться на передвижных транспортных средствах или передвижном транспортном оборудовании любых видов.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Территория складов, включая примыкающие разгрузочные площадки (одно или несколько складских помещений и площадок при условии их местонахождения на единой территории по одному адресу), должна быть охраняема, обозначена и ограждена по всему периметру и иметь твердое покрытие, обеспечивающее безопасное передвижение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him8i0psq40naqnzb4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Ограждение территории по всему периметру склада должно представлять собой закрытую непрерывную твердую конструкцию (за исключением легких строительных материалов) и быть высотой не менее 2,2 (два метра двадцать сантиметров) метра.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инфраструктуре складов временного хранения 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таможенных складов открытого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инфраструктуре (обустройству) складов временного хранения и таможенных складов открытого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обособленного административного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крытой, обустроенной площадки, эстакады (или досмотровые ямы) для проведения таможенного контроля товаров и автомобильных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прилегаемой, охраняемой территории, оборудованной для стоянки транспортных средств, перевозящих товары, на время, необходимое для совершения таможенных операций и проведения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на территории складов временного хранения и таможенных складов открытого типа или вблизи от места их расположения пунктов общественного питания (столовая, буфет и т.п.) и санитарно-бытовых удобств (туалет, душевая);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складских помещений, оборудованных стеллажами и/или полками;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ворот с контрольно-пропускным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Допускается учреждение складов временного хранения в помещениях, части помещения обособленного здания для товаров международных почтовых отправлений и экспресс-грузов, в случаях если помещения, части помещений обособленного здания будут обустроены и оборудованы таким образом, чтобы обеспечить сохранность товаров, исключить доступ к ним посторонних лиц (лиц, не являющихся работниками склада, не обладающих полномочиями в отношении товаров либо не являющихся представителями лиц, обладающих такими полномочиями), а также будут обеспечены возможностью проведения в отношении этих товаров таможенного контроля, в случаях соблюдения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двери с электронным запорным устройством (кодовый или чиповый замок);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складских помещений, оборудованных стеллажами и/или полками.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учреждение складов временного хранения, указанных в абзаце первом настоящего пункта,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подвальных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строениях из легких металлических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складам временного хранения, указанным в абзаце первом настоящего пункта, не предъявляются требования, указанные в пунктах 7, 8, подпунктах 3, 4 и 7 пункта 9 настоящих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инфраструктуре таможенных складов закрытого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инфраструктуре (обустройству) таможенных складов закрытого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обособленного административного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складских помещений, оборудованных стеллажами и/или полками;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прилегаемой, охраняемой территории, оборудованной для стоянки транспортных средств, перевозящих товары, на время, необходимое для совершения таможенных операций и проведения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техническому оснащению складов временного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хранения и таможенных складов открытого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техническому оснащению складов временного хранения и таможенных складов открытого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автоматизированной системы учета товаров, совместимой с программными продуктами, используемыми таможенными органами, оснащение соответствующими средствами защиты информации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пунктом 8 </w:t>
      </w:r>
      <w:hyperlink w:history="1" r:id="rIdfswaewpgs1bqw2m8e5u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 данный подпункт вступает в силу по истечении двух лет со дня вступления в силу указанного </w:t>
      </w:r>
      <w:hyperlink w:history="1" r:id="rIdbdpffmf1cxsunlvlb1z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телефонной связи или </w:t>
      </w:r>
      <w:r>
        <w:rPr>
          <w:rFonts w:ascii="Arial" w:cs="Arial" w:eastAsia="Arial" w:hAnsi="Arial"/>
          <w:sz w:val="24"/>
          <w:szCs w:val="24"/>
        </w:rPr>
        <w:t xml:space="preserve">IP</w:t>
      </w:r>
      <w:r>
        <w:rPr>
          <w:rFonts w:ascii="Arial" w:cs="Arial" w:eastAsia="Arial" w:hAnsi="Arial"/>
          <w:sz w:val="24"/>
          <w:szCs w:val="24"/>
        </w:rPr>
        <w:t xml:space="preserve">-телефонии/мобильной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альтернативного источника энергии для выработки электрического тока на случай необходимости обеспечения бесперебойного электроснабжения;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сертифицированного весового оборудования с различными пределами взвешивания, обеспечивающего возможность взвешивания для проведения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автомобильных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установленные абзацем третьим настоящего подпункта, предъявляются только для складов временного хранения, в которых размещены места совершения таможенных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 тридцати календарных дней по всему периметру склада, внутри территории склада и административных помещениях, где расположены места совершения таможенных операций и места проведения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комплекса аппаратного и программного обеспечения для организации электронной очереди, в случае размещения на территории складов временного хранения мест совершения таможенных операций.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техническому оснащению складов закрытого типа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техническому оснащению складов закрытого типа предъявляются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автоматизированной системы учета товаров, оснащение соответствующими средствами защиты информации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пунктом 8 </w:t>
      </w:r>
      <w:hyperlink w:history="1" r:id="rIdpvxxk32gyfstxkd9oqv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 данный подпункт вступает в силу по истечении двух лет со дня вступления в силу указанного </w:t>
      </w:r>
      <w:hyperlink w:history="1" r:id="rIdnwyqud7qwn4ff47mmb_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телефонной связи или IP-телефонии/мобильной связи, оргтехники и множительной техники, компьютеров, с доступом к глобальной сети Интернет, наличие локальной сети в служебных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 тридцати календарных дней по всему периметру склада и внутри территории склада.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складам временного хранения и таможенным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складам, предназначенным для хранения товаров, требующих особых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условий хранения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складах временного хранения и таможенных складах, предназначенных для хранения товаров, требующих особых условий хранения, кроме требований, предусмотренных пунктами 9 и 12 настоящих Требований, должны быть выделены: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обустроенные и специально приспособленные помещения, емкости - предназначенные для хранения товаров, которые могут причинить вред другим товарам или требующие особых условий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холодильные установки или емкости - для хранения скоропортящейся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помещения или емкости с определенным температурным режимом - для хранения лекарственных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инфраструктуре и техническому оснащению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складов электронной торговли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hpvcjao3uwdrtwf4p-d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 инфраструктуре (обустройству) складов электронной торговли предъявляются следующие обязательные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подъездных путей (в зависимости от вида транспорта);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складских помещений, оборудованных стеллажами и/или полками;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прилегаемой охраняемой территории, оборудованной для стоянки транспортных средств, перевозящих товары электронной торговли, на время, необходимое для совершения таможенных операций и проведения таможенного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обустроенного и специально приспособленного помещения, предназначенного для хранения товаров, которые могут причинить вред другим товарам или требующие особых условий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досмотровой рентгеновской техники, определяемой уполномоченным органом в сфере таможенного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погрузочно-разгрузочной 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автоматизированной системы учета товаров, совместимой с программными продуктами, используемыми таможенными органами, оснащение соответствующими средствами защиты информации от несанкционированного доступа;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телефонной связи или IP-телефонии/мобильной связи, оргтехники и множительной техники, компьютеров с доступом к глобальной сети Интернет, наличие локальной сети в служебных помещениях;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альтернативного источника энергии для выработки электрического тока для обеспечения бесперебойного электроснабжения;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сертифицированного весового оборудования с различными пределами взвешивания, обеспечивающего возможность взвешивания для проведения таможенного контроля: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видеонаблюдения, функционирующего в круглосуточном режиме, позволяющего осуществлять просмотр видеоинформации о прошедших событиях в течение последних 30 календарных дней по всему периметру склада, внутри территории склада и административных помещениях, где расположены места совершения таможенных операций и места проведения таможенного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dh4sxyccsne00krufn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Допускается учреждение склада электронной торговли в месте международного почтового обмена, расположенного на территории склада временного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в отношении склада электронной торговли не распространяются требования, предусмотренные пунктами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подпунктами 1, 3–7, 9, 10 </w:t>
      </w:r>
      <w:r>
        <w:rPr>
          <w:rFonts w:ascii="Arial" w:cs="Arial" w:eastAsia="Arial" w:hAnsi="Arial"/>
          <w:sz w:val="24"/>
          <w:szCs w:val="24"/>
        </w:rPr>
        <w:t xml:space="preserve">пункта 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настоящих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f4se_sc39vcft4es4u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Допускается включение юридического лица в таможенный реестр операторов электронной торговли на основании решения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в отношении такого юридического лица при включении в реестр не распространяются требования, установленные </w:t>
      </w:r>
      <w:r>
        <w:rPr>
          <w:rFonts w:ascii="Arial" w:cs="Arial" w:eastAsia="Arial" w:hAnsi="Arial"/>
          <w:sz w:val="24"/>
          <w:szCs w:val="24"/>
        </w:rPr>
        <w:t xml:space="preserve">пунктом 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u2xq-a1a3ylgaz3a9i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Режим работы складов временного хранения.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определения мест совершения таможенных операций,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связанных с помещением товаров под таможенные процедуры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склада временного хранения является круглосуточным (для обеспечения въезда в любое время суток транспортных средств, перевозящих товары, находящихся под таможенным контролем). По согласованию с таможенным органом, в регионе деятельности которого расположен склад временного хранения, может быть утвержден иной режим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режиме работы склада временного хранения должна быть размещена на воротах въезда в склад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Места совершения таможенных операций (далее - МТО) могут размещаться на территории, которая принадлежит таможенным органам либо юридическим лицам, включенным в реестр владельцев складов временного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МТО размещаются в постоянных зонах таможенного контроля, которые определяются в соответствии с Порядком создания и обозначения зон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Территория МТО определяется таможенным органом исходя из товаропотока и удобства участников внешнеэкономической деятельности.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3veyfyyu3_rjrvzdh5zh" Type="http://schemas.openxmlformats.org/officeDocument/2006/relationships/hyperlink" Target="http://kodeks.duckdns.org/document/230031880" TargetMode="External"/><Relationship Id="rIdcuq0bnmpen8yhnf2rz7ae" Type="http://schemas.openxmlformats.org/officeDocument/2006/relationships/hyperlink" Target="http://kodeks.duckdns.org/document/230048250" TargetMode="External"/><Relationship Id="rIdfmrvdiy-fmn2mwcebuzsp" Type="http://schemas.openxmlformats.org/officeDocument/2006/relationships/hyperlink" Target="http://kodeks.duckdns.org/document/111908#st_216" TargetMode="External"/><Relationship Id="rIdena7lrvhrof7fkc4vxbak" Type="http://schemas.openxmlformats.org/officeDocument/2006/relationships/hyperlink" Target="http://kodeks.duckdns.org/document/111908#st_221" TargetMode="External"/><Relationship Id="rId49rolmkdyscrststg-g5-" Type="http://schemas.openxmlformats.org/officeDocument/2006/relationships/hyperlink" Target="http://kodeks.duckdns.org/document/230048250" TargetMode="External"/><Relationship Id="rIdx6ux5u1rx_1uqzjfqynmb" Type="http://schemas.openxmlformats.org/officeDocument/2006/relationships/hyperlink" Target="http://kodeks.duckdns.org/document/230048250" TargetMode="External"/><Relationship Id="rIdzhim8i0psq40naqnzb4dz" Type="http://schemas.openxmlformats.org/officeDocument/2006/relationships/hyperlink" Target="http://kodeks.duckdns.org/document/230031880" TargetMode="External"/><Relationship Id="rIdfswaewpgs1bqw2m8e5uae" Type="http://schemas.openxmlformats.org/officeDocument/2006/relationships/hyperlink" Target="http://kodeks.duckdns.org/document/157558" TargetMode="External"/><Relationship Id="rIdbdpffmf1cxsunlvlb1z4v" Type="http://schemas.openxmlformats.org/officeDocument/2006/relationships/hyperlink" Target="http://kodeks.duckdns.org/document/157558" TargetMode="External"/><Relationship Id="rIdpvxxk32gyfstxkd9oqvsa" Type="http://schemas.openxmlformats.org/officeDocument/2006/relationships/hyperlink" Target="http://kodeks.duckdns.org/document/157558" TargetMode="External"/><Relationship Id="rIdnwyqud7qwn4ff47mmb_ba" Type="http://schemas.openxmlformats.org/officeDocument/2006/relationships/hyperlink" Target="http://kodeks.duckdns.org/document/157558" TargetMode="External"/><Relationship Id="rIdhpvcjao3uwdrtwf4p-dep" Type="http://schemas.openxmlformats.org/officeDocument/2006/relationships/hyperlink" Target="http://kodeks.duckdns.org/document/230048250" TargetMode="External"/><Relationship Id="rId-dh4sxyccsne00krufnmh" Type="http://schemas.openxmlformats.org/officeDocument/2006/relationships/hyperlink" Target="http://kodeks.duckdns.org/document/230048250" TargetMode="External"/><Relationship Id="rIdgf4se_sc39vcft4es4ubt" Type="http://schemas.openxmlformats.org/officeDocument/2006/relationships/hyperlink" Target="http://kodeks.duckdns.org/document/230048250" TargetMode="External"/><Relationship Id="rId1u2xq-a1a3ylgaz3a9i8t" Type="http://schemas.openxmlformats.org/officeDocument/2006/relationships/hyperlink" Target="http://kodeks.duckdns.org/document/23004825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2026-09-23T08:20:02.841Z</dcterms:created>
  <dcterms:modified xsi:type="dcterms:W3CDTF">2026-09-23T08:20:02.841Z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