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27 июля 2020 года № 400</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"Об охране атмосферного воздуха", "Об экологической экспертизе")"</w:t>
      </w:r>
    </w:p>
    <w:p>
      <w:pPr>
        <w:spacing w:after="60"/>
        <w:ind w:firstLine="567"/>
        <w:jc w:val="both"/>
      </w:pPr>
      <w:r>
        <w:rPr>
          <w:rFonts w:ascii="Arial" w:cs="Arial" w:eastAsia="Arial" w:hAnsi="Arial"/>
          <w:sz w:val="24"/>
          <w:szCs w:val="24"/>
        </w:rPr>
        <w:t xml:space="preserve">В соответствии со </w:t>
      </w:r>
      <w:hyperlink w:history="1" r:id="rIdtl-dfylybnk1f6zbvd8ep">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no443tayneiz3y5eqesid">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zqwv8fadbunemkxzsez00">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w:t>
      </w:r>
      <w:hyperlink w:history="1" r:id="rIdzgg6f4sthxbqdrg2uclhg">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 инициированный депутатами Жогорку Кенеша Кыргызской Республики Нурбаевым А.М., Жеенчороевым М.К., Мадеминовым М.Г., Касымалиевой А.К., Акаевым Ж.К., Строковой Е.Г., Бекешевым Д.Д., Орозовой К.Б., Карашевым А.А., Жапаровым А.У., Никитенко Н.В., Сулеймановым Б.И., Маматалиевым М.А., Жээнбековым А.Ш., Сулаймановым А.Т., Бакировым М.И.</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27 июля 2020 года № 400</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"Об охране атмосферного воздуха", "Об экологической экспертизе")"</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dxktkqltn25dkvsxalnhf">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vy3aucixi9nvhall26cxy">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w:t>
      </w:r>
      <w:hyperlink w:history="1" r:id="rIdhezuk_syh3tnucbei-nsj">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 инициированный депутатами Жогорку Кенеша Кыргызской Республики Нурбаевым А.М., Жеенчороевым М.К., Мадеминовым М.Г., Касымалиевой А.К., Акаевым Ж.К., Строковой Е.Г., Бекешевым Д.Д., Орозовой К.Б., Карашевым А.А., Жапаровым А.У., Никитенко Н.В., Сулеймановым Б.И., Маматалиевым М.А., Жээнбековым А.Ш., Сулаймановым А.Т., Бакировым М.И., приходит к следующему заключению.</w:t>
      </w:r>
    </w:p>
    <w:p>
      <w:pPr>
        <w:spacing w:after="60"/>
        <w:ind w:firstLine="567"/>
        <w:jc w:val="both"/>
      </w:pPr>
      <w:r>
        <w:rPr>
          <w:rFonts w:ascii="Arial" w:cs="Arial" w:eastAsia="Arial" w:hAnsi="Arial"/>
          <w:sz w:val="24"/>
          <w:szCs w:val="24"/>
        </w:rPr>
        <w:t xml:space="preserve">1.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ram0armhbg4gbznfnecg9">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w:t>
      </w:r>
      <w:hyperlink w:history="1" r:id="rId543digo1bad5sjdqwopub">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 (далее - проект Закона) разработан в целях реализации государственной политики по снижению уровня загрязнения воздушного пространства Кыргызской Республики и снижению угроз для здоровья населения.</w:t>
      </w:r>
    </w:p>
    <w:p>
      <w:pPr>
        <w:spacing w:after="60"/>
        <w:ind w:firstLine="567"/>
        <w:jc w:val="both"/>
      </w:pPr>
      <w:r>
        <w:rPr>
          <w:rFonts w:ascii="Arial" w:cs="Arial" w:eastAsia="Arial" w:hAnsi="Arial"/>
          <w:sz w:val="24"/>
          <w:szCs w:val="24"/>
        </w:rPr>
        <w:t xml:space="preserve">Согласно разделу VII приложения № 1 к Протоколу об условиях и переходных положениях по применению Кыргызской Республикой Договора о Евразийском экономическом союзе от 29 мая 2014 года, отдельных международных договоров, входящих в право Евразийского экономического союза,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с 12 августа 2019 года на территории Кыргызской Республики действует Технический регламент Таможенного союза "О требованиях к автомобильному бензину, дизельному и судовому топливу, топливу для реактивных двигателей и мазуту" (ТР ТС 013/2011).</w:t>
      </w:r>
    </w:p>
    <w:p>
      <w:pPr>
        <w:spacing w:after="60"/>
        <w:ind w:firstLine="567"/>
        <w:jc w:val="both"/>
      </w:pPr>
      <w:r>
        <w:rPr>
          <w:rFonts w:ascii="Arial" w:cs="Arial" w:eastAsia="Arial" w:hAnsi="Arial"/>
          <w:sz w:val="24"/>
          <w:szCs w:val="24"/>
        </w:rPr>
        <w:t xml:space="preserve">В отношении отечественного производителя следует отметить, что в связи с неготовностью к выпуску автомобильного бензина и дизельного топлива экологических классов К4 и К5, а также необходимостью модернизации производства, решением Коллегии Евразийской экономической комиссии от 26 января 2016 года № 11 был установлен Порядок введения в действие технических регламентов Таможенного союза в Кыргызской Республике (далее - Порядок). Согласно указанному Порядку, отечественные производители могут до 12 августа 2023 года производить автомобильный бензин и дизельное топливо в соответствии с требованиями национального законодательства и в период до 12 августа 2023 года должны обеспечить модернизацию производства для выпуска нефтепродуктов экологического класса К4.</w:t>
      </w:r>
    </w:p>
    <w:p>
      <w:pPr>
        <w:spacing w:after="60"/>
        <w:ind w:firstLine="567"/>
        <w:jc w:val="both"/>
      </w:pPr>
      <w:r>
        <w:rPr>
          <w:rFonts w:ascii="Arial" w:cs="Arial" w:eastAsia="Arial" w:hAnsi="Arial"/>
          <w:sz w:val="24"/>
          <w:szCs w:val="24"/>
        </w:rPr>
        <w:t xml:space="preserve">В связи с чем предлагается пункт 2 части 1 статьи 1 проекта Закона изложить в следующей редакции:</w:t>
      </w:r>
    </w:p>
    <w:p>
      <w:pPr>
        <w:spacing w:after="60"/>
        <w:ind w:firstLine="567"/>
        <w:jc w:val="both"/>
      </w:pPr>
      <w:r>
        <w:rPr>
          <w:rFonts w:ascii="Arial" w:cs="Arial" w:eastAsia="Arial" w:hAnsi="Arial"/>
          <w:sz w:val="24"/>
          <w:szCs w:val="24"/>
        </w:rPr>
        <w:t xml:space="preserve">"Запрещается ввоз на территорию Кыргызской Республики топлива и горюче-смазочных материалов, не соответствующих требованиям технических регламентов Евразийского экономического союза, а также на территории Кыргызской Республики запрещается выпуск и обращение автомобильного бензина и дизельного топлива ниже экологического класса К4.".</w:t>
      </w:r>
    </w:p>
    <w:p>
      <w:pPr>
        <w:spacing w:after="60"/>
        <w:ind w:firstLine="567"/>
        <w:jc w:val="both"/>
      </w:pPr>
      <w:r>
        <w:rPr>
          <w:rFonts w:ascii="Arial" w:cs="Arial" w:eastAsia="Arial" w:hAnsi="Arial"/>
          <w:sz w:val="24"/>
          <w:szCs w:val="24"/>
        </w:rPr>
        <w:t xml:space="preserve">На основании внесенных изменений предлагается часть 1 статьи 3 проекта Закона изложить в следующей редакции:</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 за исключением пункта 2 статьи 1, который вступает в силу с 12 августа 2023 года.".</w:t>
      </w:r>
    </w:p>
    <w:p>
      <w:pPr>
        <w:spacing w:after="60"/>
        <w:ind w:firstLine="567"/>
        <w:jc w:val="both"/>
      </w:pPr>
      <w:r>
        <w:rPr>
          <w:rFonts w:ascii="Arial" w:cs="Arial" w:eastAsia="Arial" w:hAnsi="Arial"/>
          <w:sz w:val="24"/>
          <w:szCs w:val="24"/>
        </w:rPr>
        <w:t xml:space="preserve">2. В целях исключения неясного (неправильного) понимания пункта 4 статьи 1 проекта Закона предлагается следующая редакция:</w:t>
      </w:r>
    </w:p>
    <w:p>
      <w:pPr>
        <w:spacing w:after="60"/>
        <w:ind w:firstLine="567"/>
        <w:jc w:val="both"/>
      </w:pPr>
      <w:r>
        <w:rPr>
          <w:rFonts w:ascii="Arial" w:cs="Arial" w:eastAsia="Arial" w:hAnsi="Arial"/>
          <w:sz w:val="24"/>
          <w:szCs w:val="24"/>
        </w:rPr>
        <w:t xml:space="preserve">"Действия, направленные на искусственное изменение атмосферных явлений в хозяйственных целях, осуществляются по согласованию с уполномоченным государственным органом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3. По пункту 1 части 1 статьи 2 проекта Закона следует отметить следующее.</w:t>
      </w:r>
    </w:p>
    <w:p>
      <w:pPr>
        <w:spacing w:after="60"/>
        <w:ind w:firstLine="567"/>
        <w:jc w:val="both"/>
      </w:pPr>
      <w:r>
        <w:rPr>
          <w:rFonts w:ascii="Arial" w:cs="Arial" w:eastAsia="Arial" w:hAnsi="Arial"/>
          <w:sz w:val="24"/>
          <w:szCs w:val="24"/>
        </w:rPr>
        <w:t xml:space="preserve">В соответствии со </w:t>
      </w:r>
      <w:hyperlink w:history="1" r:id="rIdelvpcqupzn803nbq1izdj">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"Об экологической экспертизе" целью проведения экологической экспертизы является обеспечение здоровья населения, однако в предлагаемой редакции она не указана.</w:t>
      </w:r>
    </w:p>
    <w:p>
      <w:pPr>
        <w:spacing w:after="60"/>
        <w:ind w:firstLine="567"/>
        <w:jc w:val="both"/>
      </w:pPr>
      <w:r>
        <w:rPr>
          <w:rFonts w:ascii="Arial" w:cs="Arial" w:eastAsia="Arial" w:hAnsi="Arial"/>
          <w:sz w:val="24"/>
          <w:szCs w:val="24"/>
        </w:rPr>
        <w:t xml:space="preserve">В связи с чем предлагается пункт 1 части 1 статьи 2 проекта Закона изложить в следующей редакции:</w:t>
      </w:r>
    </w:p>
    <w:p>
      <w:pPr>
        <w:spacing w:after="60"/>
        <w:ind w:firstLine="567"/>
        <w:jc w:val="both"/>
      </w:pPr>
      <w:r>
        <w:rPr>
          <w:rFonts w:ascii="Arial" w:cs="Arial" w:eastAsia="Arial" w:hAnsi="Arial"/>
          <w:sz w:val="24"/>
          <w:szCs w:val="24"/>
        </w:rPr>
        <w:t xml:space="preserve">"Экологическая экспертиза проводится с целью предупреждения возможного неблагоприятного воздействия намеченной хозяйственной и иной деятельности на здоровье населения и окружающую среду.".</w:t>
      </w:r>
    </w:p>
    <w:p>
      <w:pPr>
        <w:spacing w:after="60"/>
        <w:ind w:firstLine="567"/>
        <w:jc w:val="both"/>
      </w:pPr>
      <w:r>
        <w:rPr>
          <w:rFonts w:ascii="Arial" w:cs="Arial" w:eastAsia="Arial" w:hAnsi="Arial"/>
          <w:sz w:val="24"/>
          <w:szCs w:val="24"/>
        </w:rPr>
        <w:t xml:space="preserve">Кроме того, в процессе проведения экологической экспертизы должно быть установлено соответствие документов и/или документации, обосновывающих намечаемую деятельность, требованиям природоохранного законодательства.</w:t>
      </w:r>
    </w:p>
    <w:p>
      <w:pPr>
        <w:spacing w:after="60"/>
        <w:ind w:firstLine="567"/>
        <w:jc w:val="both"/>
      </w:pPr>
      <w:r>
        <w:rPr>
          <w:rFonts w:ascii="Arial" w:cs="Arial" w:eastAsia="Arial" w:hAnsi="Arial"/>
          <w:sz w:val="24"/>
          <w:szCs w:val="24"/>
        </w:rPr>
        <w:t xml:space="preserve">В связи с этим предлагается пункт 1 части 1 статьи 2 проекта Закона изложить в следующей редакции:</w:t>
      </w:r>
    </w:p>
    <w:p>
      <w:pPr>
        <w:spacing w:after="60"/>
        <w:ind w:firstLine="567"/>
        <w:jc w:val="both"/>
      </w:pPr>
      <w:r>
        <w:rPr>
          <w:rFonts w:ascii="Arial" w:cs="Arial" w:eastAsia="Arial" w:hAnsi="Arial"/>
          <w:sz w:val="24"/>
          <w:szCs w:val="24"/>
        </w:rPr>
        <w:t xml:space="preserve">"Статья 2. Цели экологической экспертизы</w:t>
      </w:r>
    </w:p>
    <w:p>
      <w:pPr>
        <w:spacing w:after="60"/>
        <w:ind w:firstLine="567"/>
        <w:jc w:val="both"/>
      </w:pPr>
      <w:r>
        <w:rPr>
          <w:rFonts w:ascii="Arial" w:cs="Arial" w:eastAsia="Arial" w:hAnsi="Arial"/>
          <w:sz w:val="24"/>
          <w:szCs w:val="24"/>
        </w:rPr>
        <w:t xml:space="preserve">Целями экологической экспертизы являются:</w:t>
      </w:r>
    </w:p>
    <w:p>
      <w:pPr>
        <w:spacing w:after="60"/>
        <w:ind w:firstLine="567"/>
        <w:jc w:val="both"/>
      </w:pPr>
      <w:r>
        <w:rPr>
          <w:rFonts w:ascii="Arial" w:cs="Arial" w:eastAsia="Arial" w:hAnsi="Arial"/>
          <w:sz w:val="24"/>
          <w:szCs w:val="24"/>
        </w:rPr>
        <w:t xml:space="preserve">- предупреждение возможного неблагоприятного воздействия намечаемой хозяйственной и иной деятельности на здоровье населения и окружающую среду;</w:t>
      </w:r>
    </w:p>
    <w:p>
      <w:pPr>
        <w:spacing w:after="60"/>
        <w:ind w:firstLine="567"/>
        <w:jc w:val="both"/>
      </w:pPr>
      <w:r>
        <w:rPr>
          <w:rFonts w:ascii="Arial" w:cs="Arial" w:eastAsia="Arial" w:hAnsi="Arial"/>
          <w:sz w:val="24"/>
          <w:szCs w:val="24"/>
        </w:rPr>
        <w:t xml:space="preserve">- установление соответствия документации, обосновывающей намечаемую в связи с реализацией объекта экологической экспертизы хозяйственную и иную деятельность, требованиям природоохранного законодательства.".</w:t>
      </w:r>
    </w:p>
    <w:p>
      <w:pPr>
        <w:spacing w:after="60"/>
        <w:ind w:firstLine="567"/>
        <w:jc w:val="both"/>
      </w:pPr>
      <w:r>
        <w:rPr>
          <w:rFonts w:ascii="Arial" w:cs="Arial" w:eastAsia="Arial" w:hAnsi="Arial"/>
          <w:sz w:val="24"/>
          <w:szCs w:val="24"/>
        </w:rPr>
        <w:t xml:space="preserve">4. В справке-обосновании к проекту Закона указывается, что предлагаемый проект Закона направлен на снижение воздействия государственного регулирования на предпринимательскую деятельность, в связи с чем проведен анализ регулятивного воздействия в соответствии с </w:t>
      </w:r>
      <w:hyperlink w:history="1" r:id="rId6om-75udzfvehapuvpodf">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утвержденной </w:t>
      </w:r>
      <w:hyperlink w:history="1" r:id="rIdt6_-hilnwctivteno-7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Однако в представленных материалах отсутствует анализ регулятивного воздействия.</w:t>
      </w:r>
    </w:p>
    <w:p>
      <w:pPr>
        <w:spacing w:after="60"/>
        <w:ind w:firstLine="567"/>
        <w:jc w:val="both"/>
      </w:pPr>
      <w:r>
        <w:rPr>
          <w:rFonts w:ascii="Arial" w:cs="Arial" w:eastAsia="Arial" w:hAnsi="Arial"/>
          <w:sz w:val="24"/>
          <w:szCs w:val="24"/>
        </w:rPr>
        <w:t xml:space="preserve">Согласно части 3 </w:t>
      </w:r>
      <w:hyperlink w:history="1" r:id="rIdd714mrqjhvq_deol8n9i3">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Закона Кыргызской Республики "О нормативных правовых актах", 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60"/>
        <w:ind w:firstLine="567"/>
        <w:jc w:val="both"/>
      </w:pPr>
      <w:r>
        <w:rPr>
          <w:rFonts w:ascii="Arial" w:cs="Arial" w:eastAsia="Arial" w:hAnsi="Arial"/>
          <w:sz w:val="24"/>
          <w:szCs w:val="24"/>
        </w:rPr>
        <w:t xml:space="preserve">5. В соответствии со </w:t>
      </w:r>
      <w:hyperlink w:history="1" r:id="rIdzbjdxp5dkmhflfvze6fta">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срок общественного обсуждения проектов нормативных правовых актов составляет не менее одного месяца. Исчисление срока общественного обсуждения начинается со дня, следующего за днем обнародования проекта нормативного правового акта. Однако из представленной справки-обоснования следует, что проект Закона будет размещен на сайте Жогорку Кенеша Кыргызской Республики. В связи с чем необходимо исполнение требований статьи 23 указанного Закона.</w:t>
      </w:r>
    </w:p>
    <w:p>
      <w:pPr>
        <w:spacing w:after="60"/>
        <w:ind w:firstLine="567"/>
        <w:jc w:val="both"/>
      </w:pPr>
      <w:r>
        <w:rPr>
          <w:rFonts w:ascii="Arial" w:cs="Arial" w:eastAsia="Arial" w:hAnsi="Arial"/>
          <w:sz w:val="24"/>
          <w:szCs w:val="24"/>
        </w:rPr>
        <w:t xml:space="preserve">6. Проектом Закона предусматривается внесение изменений в абзац третий части 2 статьи 9 Закона Кыргызской Республики "Об экологической экспертизе", при этом отмечаем, что тексты предлагаемой редакции в проекте Закона и тексты, отраженные в сравнительной таблице, не совпадают.</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указанного проекта Закона с учетом замечаний и предложений, изложенных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ylnv5b4n0i9d_sub32q">
      <w:r>
        <w:rPr>
          <w:rFonts w:ascii="Arial" w:cs="Arial" w:eastAsia="Arial" w:hAnsi="Arial"/>
          <w:color w:val="132D3F"/>
          <w:sz w:val="16"/>
          <w:szCs w:val="16"/>
          <w:u w:val="single"/>
        </w:rPr>
        <w:t xml:space="preserve">dalil.kg/document/157625</w:t>
      </w:r>
    </w:hyperlink>
  </w:p>
  <w:p>
    <w:pPr>
      <w:spacing w:after="0" w:before="40"/>
      <w:jc w:val="center"/>
    </w:pPr>
    <w:hyperlink w:history="1" r:id="rIdkpc9vezep0xvlk2s0mi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dfylybnk1f6zbvd8ep" Type="http://schemas.openxmlformats.org/officeDocument/2006/relationships/hyperlink" Target="https://dalil.kg/document/203685#st_31" TargetMode="External"/><Relationship Id="rIdno443tayneiz3y5eqesid" Type="http://schemas.openxmlformats.org/officeDocument/2006/relationships/hyperlink" Target="https://dalil.kg/document/157625#pr" TargetMode="External"/><Relationship Id="rIdzqwv8fadbunemkxzsez00" Type="http://schemas.openxmlformats.org/officeDocument/2006/relationships/hyperlink" Target="https://dalil.kg/document/216" TargetMode="External"/><Relationship Id="rIdzgg6f4sthxbqdrg2uclhg" Type="http://schemas.openxmlformats.org/officeDocument/2006/relationships/hyperlink" Target="https://dalil.kg/document/219" TargetMode="External"/><Relationship Id="rIddxktkqltn25dkvsxalnhf" Type="http://schemas.openxmlformats.org/officeDocument/2006/relationships/hyperlink" Target="https://dalil.kg/document/203685#st_31" TargetMode="External"/><Relationship Id="rIdvy3aucixi9nvhall26cxy" Type="http://schemas.openxmlformats.org/officeDocument/2006/relationships/hyperlink" Target="https://dalil.kg/document/216" TargetMode="External"/><Relationship Id="rIdhezuk_syh3tnucbei-nsj" Type="http://schemas.openxmlformats.org/officeDocument/2006/relationships/hyperlink" Target="https://dalil.kg/document/219" TargetMode="External"/><Relationship Id="rIdram0armhbg4gbznfnecg9" Type="http://schemas.openxmlformats.org/officeDocument/2006/relationships/hyperlink" Target="https://dalil.kg/document/216" TargetMode="External"/><Relationship Id="rId543digo1bad5sjdqwopub" Type="http://schemas.openxmlformats.org/officeDocument/2006/relationships/hyperlink" Target="https://dalil.kg/document/219" TargetMode="External"/><Relationship Id="rIdelvpcqupzn803nbq1izdj" Type="http://schemas.openxmlformats.org/officeDocument/2006/relationships/hyperlink" Target="https://dalil.kg/document/219#st_2" TargetMode="External"/><Relationship Id="rId6om-75udzfvehapuvpodf" Type="http://schemas.openxmlformats.org/officeDocument/2006/relationships/hyperlink" Target="https://dalil.kg/document/97019" TargetMode="External"/><Relationship Id="rIdt6_-hilnwctivteno-7an" Type="http://schemas.openxmlformats.org/officeDocument/2006/relationships/hyperlink" Target="https://dalil.kg/document/97018" TargetMode="External"/><Relationship Id="rIdd714mrqjhvq_deol8n9i3" Type="http://schemas.openxmlformats.org/officeDocument/2006/relationships/hyperlink" Target="https://dalil.kg/document/202591#st_19" TargetMode="External"/><Relationship Id="rIdzbjdxp5dkmhflfvze6fta" Type="http://schemas.openxmlformats.org/officeDocument/2006/relationships/hyperlink" Target="https://dalil.kg/document/202591#st_2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ylnv5b4n0i9d_sub32q" Type="http://schemas.openxmlformats.org/officeDocument/2006/relationships/hyperlink" Target="https://dalil.kg/document/157625" TargetMode="External"/><Relationship Id="rIdkpc9vezep0xvlk2s0mi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2026-09-30T14:55:20.359Z</dcterms:created>
  <dcterms:modified xsi:type="dcterms:W3CDTF">2026-09-30T14:55:20.359Z</dcterms:modified>
</cp:coreProperties>
</file>

<file path=docProps/custom.xml><?xml version="1.0" encoding="utf-8"?>
<Properties xmlns="http://schemas.openxmlformats.org/officeDocument/2006/custom-properties" xmlns:vt="http://schemas.openxmlformats.org/officeDocument/2006/docPropsVTypes"/>
</file>