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29 июля 2020 года № 403</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в сфере ювелирной отрасли"</w:t>
      </w:r>
    </w:p>
    <w:p>
      <w:pPr>
        <w:spacing w:after="60"/>
        <w:ind w:firstLine="567"/>
        <w:jc w:val="both"/>
      </w:pPr>
      <w:r>
        <w:rPr>
          <w:rFonts w:ascii="Arial" w:cs="Arial" w:eastAsia="Arial" w:hAnsi="Arial"/>
          <w:sz w:val="24"/>
          <w:szCs w:val="24"/>
        </w:rPr>
        <w:t xml:space="preserve">В соответствии со </w:t>
      </w:r>
      <w:hyperlink w:history="1" r:id="rIddv4ghq9oflahpmy1g-uog">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n2is7nftnnzzbaos2kwm0">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в сфере ювелирной отрасли", инициированный депутатами Жогорку Кенеша Кыргызской Республики Нурбаевым А.М., Байбакпаевым Э.Дж., Маматалиевым М.А., Конушбаевым Т.К., Алимбековым Н.К., Баатырбековым А.Б., Асылбаевой Г.К., Джумабековым Д.А., Масабировым Т.А., Мамашевой А.Т., Мамытовым Т.Т., Бекешевым Д.Д., Акаевым Ж.К., Чойбековым Р.Н., Исаевым Ж.С.</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июля 2020 года № 403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к некоторые законодательные акты в сфере ювелирной отрасли"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w4e6tc1d1cx_1bfok7zre">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в сфере ювелирной отрасли" (в Закон Кыргызской Республики "</w:t>
      </w:r>
      <w:hyperlink w:history="1" r:id="rIdt-gz-vjv6xz2vure--hoo">
        <w:r>
          <w:rPr>
            <w:rFonts w:ascii="Arial" w:cs="Arial" w:eastAsia="Arial" w:hAnsi="Arial"/>
            <w:color w:val="1D4ED8"/>
            <w:sz w:val="24"/>
            <w:szCs w:val="24"/>
            <w:u w:val="single"/>
          </w:rPr>
          <w:t xml:space="preserve">О драгоценных металлах и драгоценных камнях</w:t>
        </w:r>
      </w:hyperlink>
      <w:r>
        <w:rPr>
          <w:rFonts w:ascii="Arial" w:cs="Arial" w:eastAsia="Arial" w:hAnsi="Arial"/>
          <w:sz w:val="24"/>
          <w:szCs w:val="24"/>
        </w:rPr>
        <w:t xml:space="preserve">", Налоговый </w:t>
      </w:r>
      <w:hyperlink w:history="1" r:id="rIdkl9zsiiwgednm9ymxbgo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hyd_jxkixqgozt2xind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инициированный депутатами Жогорку Кенеша Кыргызской Республики Нурбаевым А.М., Байбакпаевым Э.Дж., Маматалиевым М.А., Конушбаевым Т.К., Алимбековым Н.К., Баатырбековым А.Б., Асылбаевой Г.К., Джумабековым Д.А., Масабировым Т.А., Мамашевой А.Т., Мамытовым Т.Т., Бекешевым Д.Д., Акаевым Ж.К., Чойбековым Р.Н., Исаевым Ж.С. (далее - законопроект), приходит к следующему заключению.</w:t>
      </w:r>
    </w:p>
    <w:p>
      <w:pPr>
        <w:spacing w:after="60"/>
        <w:ind w:firstLine="567"/>
        <w:jc w:val="both"/>
      </w:pPr>
      <w:r>
        <w:rPr>
          <w:rFonts w:ascii="Arial" w:cs="Arial" w:eastAsia="Arial" w:hAnsi="Arial"/>
          <w:sz w:val="24"/>
          <w:szCs w:val="24"/>
        </w:rPr>
        <w:t xml:space="preserve">1. Относительно внесения изменений в </w:t>
      </w:r>
      <w:hyperlink w:history="1" r:id="rIdotlb1pdkta5lmfxf2-vf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драгоценных металлах и драгоценных камнях" (далее - Закон).</w:t>
      </w:r>
    </w:p>
    <w:p>
      <w:pPr>
        <w:spacing w:after="60"/>
        <w:ind w:firstLine="567"/>
        <w:jc w:val="both"/>
      </w:pPr>
      <w:r>
        <w:rPr>
          <w:rFonts w:ascii="Arial" w:cs="Arial" w:eastAsia="Arial" w:hAnsi="Arial"/>
          <w:sz w:val="24"/>
          <w:szCs w:val="24"/>
        </w:rPr>
        <w:t xml:space="preserve">1) Частью 2 статьи 1 законопроекта предлагается внесение изменений в </w:t>
      </w:r>
      <w:hyperlink w:history="1" r:id="rIdeknpwycnzsamjo9jsc43v">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в части предоставления права преимущественной покупки аффинированных драгоценных металлов Правительству Кыргызской Республики (далее - Правительство) и Национальному банку Кыргызской Республики (далее - Национальный банк), а также производителям ювелирных изделий.</w:t>
      </w:r>
    </w:p>
    <w:p>
      <w:pPr>
        <w:spacing w:after="60"/>
        <w:ind w:firstLine="567"/>
        <w:jc w:val="both"/>
      </w:pPr>
      <w:r>
        <w:rPr>
          <w:rFonts w:ascii="Arial" w:cs="Arial" w:eastAsia="Arial" w:hAnsi="Arial"/>
          <w:sz w:val="24"/>
          <w:szCs w:val="24"/>
        </w:rPr>
        <w:t xml:space="preserve">Предполагается, что производители ювелирных изделий должны обладать правом приоритетной покупки аффинированных драгоценных металлов наравне с Правительством и Национальным банком в целях обеспечения сырьем.</w:t>
      </w:r>
    </w:p>
    <w:p>
      <w:pPr>
        <w:spacing w:after="60"/>
        <w:ind w:firstLine="567"/>
        <w:jc w:val="both"/>
      </w:pPr>
      <w:r>
        <w:rPr>
          <w:rFonts w:ascii="Arial" w:cs="Arial" w:eastAsia="Arial" w:hAnsi="Arial"/>
          <w:sz w:val="24"/>
          <w:szCs w:val="24"/>
        </w:rPr>
        <w:t xml:space="preserve">При этом, Правительство и Национальный банк только в случаях необходимости пополнения государственного фонда и государственного запаса Кыргызской Республики драгоценными металлами будут иметь право преимущественной их покупки.</w:t>
      </w:r>
    </w:p>
    <w:p>
      <w:pPr>
        <w:spacing w:after="60"/>
        <w:ind w:firstLine="567"/>
        <w:jc w:val="both"/>
      </w:pPr>
      <w:r>
        <w:rPr>
          <w:rFonts w:ascii="Arial" w:cs="Arial" w:eastAsia="Arial" w:hAnsi="Arial"/>
          <w:sz w:val="24"/>
          <w:szCs w:val="24"/>
        </w:rPr>
        <w:t xml:space="preserve">В остальных случаях Правительство и Национальный банк будут участвовать в покупке аффинированных драгоценных металлов у аффинажного комбината посредством квотирования (распределения) между субъектами, обладающими правом покупки.</w:t>
      </w:r>
    </w:p>
    <w:p>
      <w:pPr>
        <w:spacing w:after="60"/>
        <w:ind w:firstLine="567"/>
        <w:jc w:val="both"/>
      </w:pPr>
      <w:r>
        <w:rPr>
          <w:rFonts w:ascii="Arial" w:cs="Arial" w:eastAsia="Arial" w:hAnsi="Arial"/>
          <w:sz w:val="24"/>
          <w:szCs w:val="24"/>
        </w:rPr>
        <w:t xml:space="preserve">Отмечаем, что государство является особым субъектом правоотношений, обладающим всей полнотой власти для реализации собственных задач, и имеет права, которые ни один субъект, кроме него, иметь не может. В случае передачи такого права всем хозяйствующим субъектам, теряется сама суть данного правоотношения.</w:t>
      </w:r>
    </w:p>
    <w:p>
      <w:pPr>
        <w:spacing w:after="60"/>
        <w:ind w:firstLine="567"/>
        <w:jc w:val="both"/>
      </w:pPr>
      <w:r>
        <w:rPr>
          <w:rFonts w:ascii="Arial" w:cs="Arial" w:eastAsia="Arial" w:hAnsi="Arial"/>
          <w:sz w:val="24"/>
          <w:szCs w:val="24"/>
        </w:rPr>
        <w:t xml:space="preserve">Согласно </w:t>
      </w:r>
      <w:hyperlink w:history="1" r:id="rIdxst2bbxpuhlm7ygc_ngo-">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 Конституции Кыргызской Республики, Правительство является высшим органом исполнительной власти Кыргызской Республики, обеспечивающим полномочия, отнесенные к его ведению </w:t>
      </w:r>
      <w:hyperlink w:history="1" r:id="rIdixkura-0cth3romg2ftx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 соответствии со </w:t>
      </w:r>
      <w:hyperlink w:history="1" r:id="rIdens53kwsb-zhvral9du_1">
        <w:r>
          <w:rPr>
            <w:rFonts w:ascii="Arial" w:cs="Arial" w:eastAsia="Arial" w:hAnsi="Arial"/>
            <w:color w:val="1D4ED8"/>
            <w:sz w:val="24"/>
            <w:szCs w:val="24"/>
            <w:u w:val="single"/>
          </w:rPr>
          <w:t xml:space="preserve">статьей 105</w:t>
        </w:r>
      </w:hyperlink>
      <w:r>
        <w:rPr>
          <w:rFonts w:ascii="Arial" w:cs="Arial" w:eastAsia="Arial" w:hAnsi="Arial"/>
          <w:sz w:val="24"/>
          <w:szCs w:val="24"/>
        </w:rPr>
        <w:t xml:space="preserve"> Конституции Кыргызской Республики, Национальный банк обладает исключительными полномочиями по определению и проведению денежно-кредитной политики в Кыргызской Республике. В связи с чем, право Правительства и Национального банка преимущественной покупки обусловлено исполнением задач, возложенных на них </w:t>
      </w:r>
      <w:hyperlink w:history="1" r:id="rIdibga8boa43asj2hcfdh9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в целях обеспечения защиты экономических и других интересов Кыргызской Республики.</w:t>
      </w:r>
    </w:p>
    <w:p>
      <w:pPr>
        <w:spacing w:after="60"/>
        <w:ind w:firstLine="567"/>
        <w:jc w:val="both"/>
      </w:pPr>
      <w:r>
        <w:rPr>
          <w:rFonts w:ascii="Arial" w:cs="Arial" w:eastAsia="Arial" w:hAnsi="Arial"/>
          <w:sz w:val="24"/>
          <w:szCs w:val="24"/>
        </w:rPr>
        <w:t xml:space="preserve">Таким образом, норма законопроекта по закреплению за производителями ювелирных изделий полномочий по приоритетному праву покупки аффинированных драгоценных металлов наравне с Правительством и Национальным банком в целях обеспечения сырьем является неприемлемой.</w:t>
      </w:r>
    </w:p>
    <w:p>
      <w:pPr>
        <w:spacing w:after="60"/>
        <w:ind w:firstLine="567"/>
        <w:jc w:val="both"/>
      </w:pPr>
      <w:r>
        <w:rPr>
          <w:rFonts w:ascii="Arial" w:cs="Arial" w:eastAsia="Arial" w:hAnsi="Arial"/>
          <w:sz w:val="24"/>
          <w:szCs w:val="24"/>
        </w:rPr>
        <w:t xml:space="preserve">Предлагаемые изменения ограничивают полномочия Правительства и Национального банка, в связи с чем считаем целесообразным часть 2 статьи 1 законопроекта исключить.</w:t>
      </w:r>
    </w:p>
    <w:p>
      <w:pPr>
        <w:spacing w:after="60"/>
        <w:ind w:firstLine="567"/>
        <w:jc w:val="both"/>
      </w:pPr>
      <w:r>
        <w:rPr>
          <w:rFonts w:ascii="Arial" w:cs="Arial" w:eastAsia="Arial" w:hAnsi="Arial"/>
          <w:sz w:val="24"/>
          <w:szCs w:val="24"/>
        </w:rPr>
        <w:t xml:space="preserve">2) Частью 3 статьи 1 законопроекта предусматривается внесение изменений в статью 11 Закона, в части исключения функций надзора (контроля) за исполнением законодательства, утвержденных стандартов по производству, использованию драгоценных металлов и изготовлению из них ювелирных изделий и иных изделий.</w:t>
      </w:r>
    </w:p>
    <w:p>
      <w:pPr>
        <w:spacing w:after="60"/>
        <w:ind w:firstLine="567"/>
        <w:jc w:val="both"/>
      </w:pPr>
      <w:r>
        <w:rPr>
          <w:rFonts w:ascii="Arial" w:cs="Arial" w:eastAsia="Arial" w:hAnsi="Arial"/>
          <w:sz w:val="24"/>
          <w:szCs w:val="24"/>
        </w:rPr>
        <w:t xml:space="preserve">Отмечаем, что под государственным контролем (надзором) понимается деятельность контрольно-надзорных органов, направленная на предупреждение и пресечение причин нарушений норм законодательства, причинения вреда (ущерба) и др., путем профилактики рисков причинения вреда (ущерба) охраняемым законом ценностям, оценки соблюдения гражданами и организациями обязательных требований и выявления их нарушений, принятия предусмотренных законодательством мер по пресечению выявленных нарушений, устранению их последствий и восстановлению правового положения, существовавшего до такого нарушения обязательных требований. Под мониторингом понимается система постоянного наблюдения за происходящими процессами и их фиксациями, результаты которого служат для обоснования управленческих решений.</w:t>
      </w:r>
    </w:p>
    <w:p>
      <w:pPr>
        <w:spacing w:after="60"/>
        <w:ind w:firstLine="567"/>
        <w:jc w:val="both"/>
      </w:pPr>
      <w:r>
        <w:rPr>
          <w:rFonts w:ascii="Arial" w:cs="Arial" w:eastAsia="Arial" w:hAnsi="Arial"/>
          <w:sz w:val="24"/>
          <w:szCs w:val="24"/>
        </w:rPr>
        <w:t xml:space="preserve">В соответствии с этим предлагаемые изменения в данную статью искажают ее структуру и содержание.</w:t>
      </w:r>
    </w:p>
    <w:p>
      <w:pPr>
        <w:spacing w:after="60"/>
        <w:ind w:firstLine="567"/>
        <w:jc w:val="both"/>
      </w:pPr>
      <w:r>
        <w:rPr>
          <w:rFonts w:ascii="Arial" w:cs="Arial" w:eastAsia="Arial" w:hAnsi="Arial"/>
          <w:sz w:val="24"/>
          <w:szCs w:val="24"/>
        </w:rPr>
        <w:t xml:space="preserve">В соответствии со </w:t>
      </w:r>
      <w:hyperlink w:history="1" r:id="rId5waid4poxcuqdm8bndapl">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задачей пробирного надзора является обеспечение соблюдения всеми пользователями драгоценных металлов, драгоценных камней и изделий из них законодательства, утвержденных стандартов по производству, переработке, использованию драгоценных металлов, драгоценных камней и изготовлению из них ювелирных и иных изделий, независимо от форм собственности.</w:t>
      </w:r>
    </w:p>
    <w:p>
      <w:pPr>
        <w:spacing w:after="60"/>
        <w:ind w:firstLine="567"/>
        <w:jc w:val="both"/>
      </w:pPr>
      <w:r>
        <w:rPr>
          <w:rFonts w:ascii="Arial" w:cs="Arial" w:eastAsia="Arial" w:hAnsi="Arial"/>
          <w:sz w:val="24"/>
          <w:szCs w:val="24"/>
        </w:rPr>
        <w:t xml:space="preserve">Пробирной надзор осуществляет контроль за производством, использованием, обращением драгоценных металлов и драгоценных камней и изделий из них, за технологическими процессами, где применяются драгоценные металлы и драгоценные камни, а также за исполнением лицами, осуществляющими операции (сделки) с драгоценными металлами и драгоценными камнями, ювелирными изделиями из них (и ломом таких изделий), требований законодательства Кыргызской Республики в сфере противодействия финансированию терроризма и легализации (отмыванию) доходов, полученных преступным путем.</w:t>
      </w:r>
    </w:p>
    <w:p>
      <w:pPr>
        <w:spacing w:after="60"/>
        <w:ind w:firstLine="567"/>
        <w:jc w:val="both"/>
      </w:pPr>
      <w:r>
        <w:rPr>
          <w:rFonts w:ascii="Arial" w:cs="Arial" w:eastAsia="Arial" w:hAnsi="Arial"/>
          <w:sz w:val="24"/>
          <w:szCs w:val="24"/>
        </w:rPr>
        <w:t xml:space="preserve">В этой связи, предлагаемые законопроектом изменения в </w:t>
      </w:r>
      <w:hyperlink w:history="1" r:id="rIds_iwuuuzxrvs4thxas0ij">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Закона не совпадают с предметом регулирования указанной статьи, так как не подпадают под задачи пробирного надзора.</w:t>
      </w:r>
    </w:p>
    <w:p>
      <w:pPr>
        <w:spacing w:after="60"/>
        <w:ind w:firstLine="567"/>
        <w:jc w:val="both"/>
      </w:pPr>
      <w:r>
        <w:rPr>
          <w:rFonts w:ascii="Arial" w:cs="Arial" w:eastAsia="Arial" w:hAnsi="Arial"/>
          <w:sz w:val="24"/>
          <w:szCs w:val="24"/>
        </w:rPr>
        <w:t xml:space="preserve">Нормы </w:t>
      </w:r>
      <w:hyperlink w:history="1" r:id="rIdzsqw-t9switmffikwq3sp">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регулируют вопросы пробирного надзора. Предлагаемые изменения регулируют иной не связанный прямо с данной статьей предмет. Пробирный надзор - контрольная функция. Мониторинг использования драгоценных металлов в производстве не является контрольной функцией, а является анализом, изучением и т.д., что не подпадает под задачи пробирного надзора.</w:t>
      </w:r>
    </w:p>
    <w:p>
      <w:pPr>
        <w:spacing w:after="60"/>
        <w:ind w:firstLine="567"/>
        <w:jc w:val="both"/>
      </w:pPr>
      <w:r>
        <w:rPr>
          <w:rFonts w:ascii="Arial" w:cs="Arial" w:eastAsia="Arial" w:hAnsi="Arial"/>
          <w:sz w:val="24"/>
          <w:szCs w:val="24"/>
        </w:rPr>
        <w:t xml:space="preserve">В этой связи, считаем необходимым часть 3 статьи 1 законопроекта исключить.</w:t>
      </w:r>
    </w:p>
    <w:p>
      <w:pPr>
        <w:spacing w:after="60"/>
        <w:ind w:firstLine="567"/>
        <w:jc w:val="both"/>
      </w:pPr>
      <w:r>
        <w:rPr>
          <w:rFonts w:ascii="Arial" w:cs="Arial" w:eastAsia="Arial" w:hAnsi="Arial"/>
          <w:sz w:val="24"/>
          <w:szCs w:val="24"/>
        </w:rPr>
        <w:t xml:space="preserve">2. Относительно внесения изменений в Налоговый </w:t>
      </w:r>
      <w:hyperlink w:history="1" r:id="rIdifa6yq79fmyqi1_ylhxv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Налоговый кодекс).</w:t>
      </w:r>
    </w:p>
    <w:p>
      <w:pPr>
        <w:spacing w:after="60"/>
        <w:ind w:firstLine="567"/>
        <w:jc w:val="both"/>
      </w:pPr>
      <w:r>
        <w:rPr>
          <w:rFonts w:ascii="Arial" w:cs="Arial" w:eastAsia="Arial" w:hAnsi="Arial"/>
          <w:sz w:val="24"/>
          <w:szCs w:val="24"/>
        </w:rPr>
        <w:t xml:space="preserve">Законопроектом предлагается внести изменения в Налоговый </w:t>
      </w:r>
      <w:hyperlink w:history="1" r:id="rIdei2tluy89syllmbnzsf4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части:</w:t>
      </w:r>
    </w:p>
    <w:p>
      <w:pPr>
        <w:spacing w:after="60"/>
        <w:ind w:firstLine="567"/>
        <w:jc w:val="both"/>
      </w:pPr>
      <w:r>
        <w:rPr>
          <w:rFonts w:ascii="Arial" w:cs="Arial" w:eastAsia="Arial" w:hAnsi="Arial"/>
          <w:sz w:val="24"/>
          <w:szCs w:val="24"/>
        </w:rPr>
        <w:t xml:space="preserve">- включения ювелирного производства в перечень преференциальных видов промышленной деятельности, подлежащих льготному налогообложению;</w:t>
      </w:r>
    </w:p>
    <w:p>
      <w:pPr>
        <w:spacing w:after="60"/>
        <w:ind w:firstLine="567"/>
        <w:jc w:val="both"/>
      </w:pPr>
      <w:r>
        <w:rPr>
          <w:rFonts w:ascii="Arial" w:cs="Arial" w:eastAsia="Arial" w:hAnsi="Arial"/>
          <w:sz w:val="24"/>
          <w:szCs w:val="24"/>
        </w:rPr>
        <w:t xml:space="preserve">- освобождения от налога на добавленную стоимость поставок и экспорта ювелирных изделий, изготовленных из концентратов, сплавов и аффинированных драгоценных металлов;</w:t>
      </w:r>
    </w:p>
    <w:p>
      <w:pPr>
        <w:spacing w:after="60"/>
        <w:ind w:firstLine="567"/>
        <w:jc w:val="both"/>
      </w:pPr>
      <w:r>
        <w:rPr>
          <w:rFonts w:ascii="Arial" w:cs="Arial" w:eastAsia="Arial" w:hAnsi="Arial"/>
          <w:sz w:val="24"/>
          <w:szCs w:val="24"/>
        </w:rPr>
        <w:t xml:space="preserve">- освобождения от налога на добавленную стоимость импортируемых концентратов, сплавов и аффинированных драгоценных металлов, предназначенных для производства ювелирных изделий.</w:t>
      </w:r>
    </w:p>
    <w:p>
      <w:pPr>
        <w:spacing w:after="60"/>
        <w:ind w:firstLine="567"/>
        <w:jc w:val="both"/>
      </w:pPr>
      <w:r>
        <w:rPr>
          <w:rFonts w:ascii="Arial" w:cs="Arial" w:eastAsia="Arial" w:hAnsi="Arial"/>
          <w:sz w:val="24"/>
          <w:szCs w:val="24"/>
        </w:rPr>
        <w:t xml:space="preserve">Согласно нормам Налогового </w:t>
      </w:r>
      <w:hyperlink w:history="1" r:id="rIduesxudvxddv9pnd7wn-h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ставка налога на прибыль предприятий, деятельность которых относится к преференциальным видам промышленной деятельности, установлена в размере "0" процентов. Кроме этого, такие предприятия освобождены от уплаты налога с продаж, местные кенеши имеют право предоставлять им освобождение от уплаты налога на имущество и земельного налога.</w:t>
      </w:r>
    </w:p>
    <w:p>
      <w:pPr>
        <w:spacing w:after="60"/>
        <w:ind w:firstLine="567"/>
        <w:jc w:val="both"/>
      </w:pPr>
      <w:r>
        <w:rPr>
          <w:rFonts w:ascii="Arial" w:cs="Arial" w:eastAsia="Arial" w:hAnsi="Arial"/>
          <w:sz w:val="24"/>
          <w:szCs w:val="24"/>
        </w:rPr>
        <w:t xml:space="preserve">При этом отмечаем, что налоговые льготы для вышеуказанных предприятий предоставлены в целях стимулирования инвестиционной деятельности промышленных и инновационных предприятий, открывающихся в дотационных населенных пунктах Кыргызской Республики.</w:t>
      </w:r>
    </w:p>
    <w:p>
      <w:pPr>
        <w:spacing w:after="60"/>
        <w:ind w:firstLine="567"/>
        <w:jc w:val="both"/>
      </w:pPr>
      <w:r>
        <w:rPr>
          <w:rFonts w:ascii="Arial" w:cs="Arial" w:eastAsia="Arial" w:hAnsi="Arial"/>
          <w:sz w:val="24"/>
          <w:szCs w:val="24"/>
        </w:rPr>
        <w:t xml:space="preserve">При реализации данного законопроекта могут возникнуть риски, связанные с определением достоверности изготовления ювелирных изделий именно из концентратов, сплавов и аффинированных драгоценных металлов при их поставке и экспорте, а также факта ввоза концентратов, сплавов и аффинированных драгоценных металлов для целей производства ювелирных изделий. Для развития ювелирной отрасли следует рассмотреть более действенные меры, призванные содействовать отечественным ювелирам, к примеру предоставление производителям доступа к сырьевым ресурсам, добываемым в Кыргызской Республике по более низким ценам.</w:t>
      </w:r>
    </w:p>
    <w:p>
      <w:pPr>
        <w:spacing w:after="60"/>
        <w:ind w:firstLine="567"/>
        <w:jc w:val="both"/>
      </w:pPr>
      <w:r>
        <w:rPr>
          <w:rFonts w:ascii="Arial" w:cs="Arial" w:eastAsia="Arial" w:hAnsi="Arial"/>
          <w:sz w:val="24"/>
          <w:szCs w:val="24"/>
        </w:rPr>
        <w:t xml:space="preserve">Учитывая ситуацию в стране, связанную с пандемией коронавируса, и последовавшее за ней падение экономической активности, негативно отразившихся на доходной части государственного бюджета, считаем, что любые инициативы по предоставлению налоговых льгот являются нецелесообразными.</w:t>
      </w:r>
    </w:p>
    <w:p>
      <w:pPr>
        <w:spacing w:after="60"/>
        <w:ind w:firstLine="567"/>
        <w:jc w:val="both"/>
      </w:pPr>
      <w:r>
        <w:rPr>
          <w:rFonts w:ascii="Arial" w:cs="Arial" w:eastAsia="Arial" w:hAnsi="Arial"/>
          <w:sz w:val="24"/>
          <w:szCs w:val="24"/>
        </w:rPr>
        <w:t xml:space="preserve">В связи с вышеизложенным предлагаем статью 2 законопроекта исключить.</w:t>
      </w:r>
    </w:p>
    <w:p>
      <w:pPr>
        <w:spacing w:after="60"/>
        <w:ind w:firstLine="567"/>
        <w:jc w:val="both"/>
      </w:pPr>
      <w:r>
        <w:rPr>
          <w:rFonts w:ascii="Arial" w:cs="Arial" w:eastAsia="Arial" w:hAnsi="Arial"/>
          <w:sz w:val="24"/>
          <w:szCs w:val="24"/>
        </w:rPr>
        <w:t xml:space="preserve">3. Относительно внесения изменений в </w:t>
      </w:r>
      <w:hyperlink w:history="1" r:id="rIdyvqy9nhovuuxksdl8rkj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(далее - Закон о Национальном банке).</w:t>
      </w:r>
    </w:p>
    <w:p>
      <w:pPr>
        <w:spacing w:after="60"/>
        <w:ind w:firstLine="567"/>
        <w:jc w:val="both"/>
      </w:pPr>
      <w:r>
        <w:rPr>
          <w:rFonts w:ascii="Arial" w:cs="Arial" w:eastAsia="Arial" w:hAnsi="Arial"/>
          <w:sz w:val="24"/>
          <w:szCs w:val="24"/>
        </w:rPr>
        <w:t xml:space="preserve">Статьей 3 законопроекта предусмотрено внесение изменений в статью 111 Закона о Национальном банке, в части банковских операций.</w:t>
      </w:r>
    </w:p>
    <w:p>
      <w:pPr>
        <w:spacing w:after="60"/>
        <w:ind w:firstLine="567"/>
        <w:jc w:val="both"/>
      </w:pPr>
      <w:r>
        <w:rPr>
          <w:rFonts w:ascii="Arial" w:cs="Arial" w:eastAsia="Arial" w:hAnsi="Arial"/>
          <w:sz w:val="24"/>
          <w:szCs w:val="24"/>
        </w:rPr>
        <w:t xml:space="preserve">Частью 9 указанной статьи определяется, что требования, условия и особенности осуществления банковских операций, иной деятельности и сделок устанавливаются Национальным банком. В этой связи Правлением Национального банка принято </w:t>
      </w:r>
      <w:hyperlink w:history="1" r:id="rIdrauitp6w5hwlhrjo0wd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"Об утверждении </w:t>
      </w:r>
      <w:hyperlink w:history="1" r:id="rIdhwaen1yesrldlytmnxmp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от 8 июня 2017 года № 2017-П-12/23-1, согласно которому неотъемлемой частью банковской лицензии является перечень разрешенных банковских операций. Национальный банк определяет перечень разрешенных банковских операций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Кроме того, согласно </w:t>
      </w:r>
      <w:hyperlink w:history="1" r:id="rIdduxobxnquhiwrxql-9q4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 утвержденному </w:t>
      </w:r>
      <w:hyperlink w:history="1" r:id="rIdunqc7__cwpfqamoiyki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26 августа 2009 года № 35/3, уже предусмотрены предлагаемые изменения в Закон о Национальном банке.</w:t>
      </w:r>
    </w:p>
    <w:p>
      <w:pPr>
        <w:spacing w:after="60"/>
        <w:ind w:firstLine="567"/>
        <w:jc w:val="both"/>
      </w:pPr>
      <w:r>
        <w:rPr>
          <w:rFonts w:ascii="Arial" w:cs="Arial" w:eastAsia="Arial" w:hAnsi="Arial"/>
          <w:sz w:val="24"/>
          <w:szCs w:val="24"/>
        </w:rPr>
        <w:t xml:space="preserve">В этой связи, с учетом требований статьи 111 </w:t>
      </w:r>
      <w:hyperlink w:history="1" r:id="rId1yuzcoour1qodmtykqgd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согласно которым требования, условия и особенности осуществления банковских операций, иной деятельности и сделок устанавливаются Национальным банком, а также учитывая, что предлагаемые законопроектом изменения уже отражены в нормативных правовых актах Национального банка, считаем необходимым статью 3 законопроекта исключить.</w:t>
      </w:r>
    </w:p>
    <w:p>
      <w:pPr>
        <w:spacing w:after="60"/>
        <w:ind w:firstLine="567"/>
        <w:jc w:val="both"/>
      </w:pPr>
      <w:r>
        <w:rPr>
          <w:rFonts w:ascii="Arial" w:cs="Arial" w:eastAsia="Arial" w:hAnsi="Arial"/>
          <w:sz w:val="24"/>
          <w:szCs w:val="24"/>
        </w:rPr>
        <w:t xml:space="preserve">Следует отметить, что изменения и дополнения, предлагаемые законопроектом, вносятся в действующую редакцию Закона. Однако в настоящее время Правительством проводится работа по разработке и внесению на рассмотрение Жогорку Кенеша Кыргызской Республики проекта Закона Кыргызской Республики "О драгоценных металлах и драгоценных камнях" в новой редакции, в рамках исполнения рекомендаций Совета по регулятивной реформе, в связи с имеющимися недостатками нормативно-правового регулирования в части противоречий (коллизий) и пробелов в законодательстве, регулирующем сферу операции с драгоценными металлами и драгоценными камнями, дублирования с нормативными правовыми актами, а также в целях преобразования системы регулирования рынка драгоценных металлов и драгоценных камней.</w:t>
      </w:r>
    </w:p>
    <w:p>
      <w:pPr>
        <w:spacing w:after="60"/>
        <w:ind w:firstLine="567"/>
        <w:jc w:val="both"/>
      </w:pPr>
      <w:r>
        <w:rPr>
          <w:rFonts w:ascii="Arial" w:cs="Arial" w:eastAsia="Arial" w:hAnsi="Arial"/>
          <w:sz w:val="24"/>
          <w:szCs w:val="24"/>
        </w:rPr>
        <w:t xml:space="preserve">В настоящее время, проект Закона Кыргызской Республики "О драгоценных металлах и драгоценных камнях" в новой редакции, согласованный со всеми заинтересованными сторонами, министерствами и ведомствами Кыргызской Республики, Национальным банком Кыргызской Республики, прошедший обсуждение с промышленниками республики, задействованными в добыче и переработке драгоценных металлов, представителями Международного делового совета, Совета по развитию бизнеса и инвестиций при Правительстве Кыргызской Республики, находится на рассмотрении Правительства Кыргызской Республики.</w:t>
      </w:r>
    </w:p>
    <w:p>
      <w:pPr>
        <w:spacing w:after="60"/>
        <w:ind w:firstLine="567"/>
        <w:jc w:val="both"/>
      </w:pPr>
      <w:r>
        <w:rPr>
          <w:rFonts w:ascii="Arial" w:cs="Arial" w:eastAsia="Arial" w:hAnsi="Arial"/>
          <w:sz w:val="24"/>
          <w:szCs w:val="24"/>
        </w:rPr>
        <w:t xml:space="preserve">Нормы нового законопроекта позволят сформировать единую законодательную основу, отвечающую интересам всех участников рынка драгоценных металлов страны, направленную на регулирование производства и оборота драгоценных металлов и драгоценных камней в Кыргызской Республике, включая обеспечение государственного регулирования и контроля за операциями с драгоценными металлами.</w:t>
      </w:r>
    </w:p>
    <w:p>
      <w:pPr>
        <w:spacing w:after="60"/>
        <w:ind w:firstLine="567"/>
        <w:jc w:val="both"/>
      </w:pPr>
      <w:r>
        <w:rPr>
          <w:rFonts w:ascii="Arial" w:cs="Arial" w:eastAsia="Arial" w:hAnsi="Arial"/>
          <w:sz w:val="24"/>
          <w:szCs w:val="24"/>
        </w:rPr>
        <w:t xml:space="preserve">В отличие от проекта Закона Кыргызской Республики "О драгоценных металлах и драгоценных камнях" в новой редакции, предлагаемый законопроект не содержит норм, соблюдающих интересы других участников рынка драгоценных металлов, включая нормы, предусмотренные </w:t>
      </w:r>
      <w:hyperlink w:history="1" r:id="rIdlnkzk6c8bzrk0wemgnz4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упорядочению операций с золотом, производимым в Кыргызской Республике" от 10 июля 1996 года № 235, и направленные на защиту интересов Кыргызской Республики в лице Правительства и Национального банка.</w:t>
      </w:r>
    </w:p>
    <w:p>
      <w:pPr>
        <w:spacing w:after="60"/>
        <w:ind w:firstLine="567"/>
        <w:jc w:val="both"/>
      </w:pPr>
      <w:r>
        <w:rPr>
          <w:rFonts w:ascii="Arial" w:cs="Arial" w:eastAsia="Arial" w:hAnsi="Arial"/>
          <w:sz w:val="24"/>
          <w:szCs w:val="24"/>
        </w:rPr>
        <w:t xml:space="preserve">В тоже время отмечаем, что справка-обоснование к законопроекту, а также анализ регулятивного воздействия к законопроекту по своей сути сводятся к вопросу дефицита аффинированного золота в виде сырья, а также к наличию в национальном законодательстве ограничений на их приобретение, как к основным сдерживающим факторам развития ювелирной отрасли. Сдерживающим фактором развития ювелирной промышленности могут являться ограничения доступа к нему, но не дефицит сырья. В проекте Закона Кыргызской Республики "О драгоценных металлах и драгоценных камнях" предусматривается разработка подзаконных актов (решений Правительства Кыргызской Республики), регулирующих реализацию аффинированных драгоценных металлов.</w:t>
      </w:r>
    </w:p>
    <w:p>
      <w:pPr>
        <w:spacing w:after="60"/>
        <w:ind w:firstLine="567"/>
        <w:jc w:val="both"/>
      </w:pPr>
      <w:r>
        <w:rPr>
          <w:rFonts w:ascii="Arial" w:cs="Arial" w:eastAsia="Arial" w:hAnsi="Arial"/>
          <w:sz w:val="24"/>
          <w:szCs w:val="24"/>
        </w:rPr>
        <w:t xml:space="preserve">На основании изложенного Правительство Кыргызской Республики считает принятие законопроекта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_5jzzzujv0owu5mvd0zm">
      <w:r>
        <w:rPr>
          <w:rFonts w:ascii="Arial" w:cs="Arial" w:eastAsia="Arial" w:hAnsi="Arial"/>
          <w:color w:val="132D3F"/>
          <w:sz w:val="16"/>
          <w:szCs w:val="16"/>
          <w:u w:val="single"/>
        </w:rPr>
        <w:t xml:space="preserve">dalil.kg/document/157628</w:t>
      </w:r>
    </w:hyperlink>
  </w:p>
  <w:p>
    <w:pPr>
      <w:spacing w:after="0" w:before="40"/>
      <w:jc w:val="center"/>
    </w:pPr>
    <w:hyperlink w:history="1" r:id="rIdx_h2k8pshgfkpol5l_l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4ghq9oflahpmy1g-uog" Type="http://schemas.openxmlformats.org/officeDocument/2006/relationships/hyperlink" Target="https://dalil.kg/document/203685#st_31" TargetMode="External"/><Relationship Id="rIdn2is7nftnnzzbaos2kwm0" Type="http://schemas.openxmlformats.org/officeDocument/2006/relationships/hyperlink" Target="https://dalil.kg/document/157628#pr" TargetMode="External"/><Relationship Id="rIdw4e6tc1d1cx_1bfok7zre" Type="http://schemas.openxmlformats.org/officeDocument/2006/relationships/hyperlink" Target="https://dalil.kg/document/203685#st_31" TargetMode="External"/><Relationship Id="rIdt-gz-vjv6xz2vure--hoo" Type="http://schemas.openxmlformats.org/officeDocument/2006/relationships/hyperlink" Target="https://dalil.kg/document/69" TargetMode="External"/><Relationship Id="rIdkl9zsiiwgednm9ymxbgoj" Type="http://schemas.openxmlformats.org/officeDocument/2006/relationships/hyperlink" Target="https://dalil.kg/document/202445" TargetMode="External"/><Relationship Id="rIdhyd_jxkixqgozt2xindqz" Type="http://schemas.openxmlformats.org/officeDocument/2006/relationships/hyperlink" Target="https://dalil.kg/document/111486" TargetMode="External"/><Relationship Id="rIdotlb1pdkta5lmfxf2-vfe" Type="http://schemas.openxmlformats.org/officeDocument/2006/relationships/hyperlink" Target="https://dalil.kg/document/69" TargetMode="External"/><Relationship Id="rIdeknpwycnzsamjo9jsc43v" Type="http://schemas.openxmlformats.org/officeDocument/2006/relationships/hyperlink" Target="https://dalil.kg/document/69#st_7" TargetMode="External"/><Relationship Id="rIdxst2bbxpuhlm7ygc_ngo-" Type="http://schemas.openxmlformats.org/officeDocument/2006/relationships/hyperlink" Target="https://dalil.kg/document/202913#st_83" TargetMode="External"/><Relationship Id="rIdixkura-0cth3romg2ftxk" Type="http://schemas.openxmlformats.org/officeDocument/2006/relationships/hyperlink" Target="https://dalil.kg/document/202913" TargetMode="External"/><Relationship Id="rIdens53kwsb-zhvral9du_1" Type="http://schemas.openxmlformats.org/officeDocument/2006/relationships/hyperlink" Target="https://dalil.kg/document/202913#st_105" TargetMode="External"/><Relationship Id="rIdibga8boa43asj2hcfdh9x" Type="http://schemas.openxmlformats.org/officeDocument/2006/relationships/hyperlink" Target="https://dalil.kg/document/202913" TargetMode="External"/><Relationship Id="rId5waid4poxcuqdm8bndapl" Type="http://schemas.openxmlformats.org/officeDocument/2006/relationships/hyperlink" Target="https://dalil.kg/document/69#st_11" TargetMode="External"/><Relationship Id="rIds_iwuuuzxrvs4thxas0ij" Type="http://schemas.openxmlformats.org/officeDocument/2006/relationships/hyperlink" Target="https://dalil.kg/document/69#st_69" TargetMode="External"/><Relationship Id="rIdzsqw-t9switmffikwq3sp" Type="http://schemas.openxmlformats.org/officeDocument/2006/relationships/hyperlink" Target="https://dalil.kg/document/69#st_11" TargetMode="External"/><Relationship Id="rIdifa6yq79fmyqi1_ylhxvq" Type="http://schemas.openxmlformats.org/officeDocument/2006/relationships/hyperlink" Target="https://dalil.kg/document/202445" TargetMode="External"/><Relationship Id="rIdei2tluy89syllmbnzsf4y" Type="http://schemas.openxmlformats.org/officeDocument/2006/relationships/hyperlink" Target="https://dalil.kg/document/202445" TargetMode="External"/><Relationship Id="rIduesxudvxddv9pnd7wn-hx" Type="http://schemas.openxmlformats.org/officeDocument/2006/relationships/hyperlink" Target="https://dalil.kg/document/202445" TargetMode="External"/><Relationship Id="rIdyvqy9nhovuuxksdl8rkja" Type="http://schemas.openxmlformats.org/officeDocument/2006/relationships/hyperlink" Target="https://dalil.kg/document/111486" TargetMode="External"/><Relationship Id="rIdrauitp6w5hwlhrjo0wdbp" Type="http://schemas.openxmlformats.org/officeDocument/2006/relationships/hyperlink" Target="https://dalil.kg/document/800233" TargetMode="External"/><Relationship Id="rIdhwaen1yesrldlytmnxmpp" Type="http://schemas.openxmlformats.org/officeDocument/2006/relationships/hyperlink" Target="https://dalil.kg/document/800234" TargetMode="External"/><Relationship Id="rIdduxobxnquhiwrxql-9q4b" Type="http://schemas.openxmlformats.org/officeDocument/2006/relationships/hyperlink" Target="https://dalil.kg/document/301272" TargetMode="External"/><Relationship Id="rIdunqc7__cwpfqamoiykiel" Type="http://schemas.openxmlformats.org/officeDocument/2006/relationships/hyperlink" Target="https://dalil.kg/document/301242" TargetMode="External"/><Relationship Id="rId1yuzcoour1qodmtykqgds" Type="http://schemas.openxmlformats.org/officeDocument/2006/relationships/hyperlink" Target="https://dalil.kg/document/111486" TargetMode="External"/><Relationship Id="rIdlnkzk6c8bzrk0wemgnz4x" Type="http://schemas.openxmlformats.org/officeDocument/2006/relationships/hyperlink" Target="https://dalil.kg/document/46564"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_5jzzzujv0owu5mvd0zm" Type="http://schemas.openxmlformats.org/officeDocument/2006/relationships/hyperlink" Target="https://dalil.kg/document/157628" TargetMode="External"/><Relationship Id="rIdx_h2k8pshgfkpol5l_l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2026-09-30T14:39:21.835Z</dcterms:created>
  <dcterms:modified xsi:type="dcterms:W3CDTF">2026-09-30T14:39:21.835Z</dcterms:modified>
</cp:coreProperties>
</file>

<file path=docProps/custom.xml><?xml version="1.0" encoding="utf-8"?>
<Properties xmlns="http://schemas.openxmlformats.org/officeDocument/2006/custom-properties" xmlns:vt="http://schemas.openxmlformats.org/officeDocument/2006/docPropsVTypes"/>
</file>