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 декабря 2020 года № 586</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нотариальной деятельности</w:t>
      </w:r>
    </w:p>
    <w:p>
      <w:pPr>
        <w:spacing w:after="60"/>
        <w:ind w:firstLine="567"/>
        <w:jc w:val="both"/>
      </w:pPr>
      <w:r>
        <w:rPr>
          <w:rFonts w:ascii="Arial" w:cs="Arial" w:eastAsia="Arial" w:hAnsi="Arial"/>
          <w:sz w:val="24"/>
          <w:szCs w:val="24"/>
        </w:rPr>
        <w:t xml:space="preserve">В целях реализации </w:t>
      </w:r>
      <w:hyperlink w:history="1" r:id="rIdpu53_nqmmync_6uihna8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rgvy00f_j6gkcmzquzqw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от 13 декабря 2019 года № 138, совершенствования системы предоставления нотариальных услуг, в соответствии со статьями </w:t>
      </w:r>
      <w:hyperlink w:history="1" r:id="rIdy-oe05g09l3zrficrk6zh">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1bwoswcuzl64p1-rqak0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getm2sahstgtzhkapvd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нотариальной деятельности" от 20 апреля 2011 года № 179 следующие изменения:</w:t>
      </w:r>
    </w:p>
    <w:p>
      <w:pPr>
        <w:spacing w:after="60"/>
        <w:ind w:firstLine="567"/>
        <w:jc w:val="both"/>
      </w:pPr>
      <w:r>
        <w:rPr>
          <w:rFonts w:ascii="Arial" w:cs="Arial" w:eastAsia="Arial" w:hAnsi="Arial"/>
          <w:sz w:val="24"/>
          <w:szCs w:val="24"/>
        </w:rPr>
        <w:t xml:space="preserve">в </w:t>
      </w:r>
      <w:hyperlink w:history="1" r:id="rIdl8n8pbkargea3nfopuxl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вышеуказанным </w:t>
      </w:r>
      <w:hyperlink w:history="1" r:id="rIdqq0m1chwopa4er6ben2y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1 после слов "</w:t>
      </w:r>
      <w:hyperlink w:history="1" r:id="rId-s1tzjq4yysvgu4miqx1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дополнить словами "</w:t>
      </w:r>
      <w:hyperlink w:history="1" r:id="rId_a_yngsgwbecj7sp29k-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 в пункте 12:</w:t>
      </w:r>
    </w:p>
    <w:p>
      <w:pPr>
        <w:spacing w:after="60"/>
        <w:ind w:firstLine="567"/>
        <w:jc w:val="both"/>
      </w:pPr>
      <w:r>
        <w:rPr>
          <w:rFonts w:ascii="Arial" w:cs="Arial" w:eastAsia="Arial" w:hAnsi="Arial"/>
          <w:sz w:val="24"/>
          <w:szCs w:val="24"/>
        </w:rPr>
        <w:t xml:space="preserve">абзац второй после слов "регистрации нотариальных действий" дополнить словами "на бумажном и электронном носителях";</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"В соответствии с пунктом 5 Ставок государственной пошлины, утвержденных </w:t>
      </w:r>
      <w:hyperlink w:history="1" r:id="rIdpzwmmj2dydzehusxz0r-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2019 года № 159, за нотариальное действие, совершенное вне помещения нотариуса, государственная пошлина взимается в двойном размере, а также оплачиваются расходы, связанные с выездом для совершения этих действий.";</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Нотариальные действия совершаются при предъявлении всех необходимых документов и уплаты государственной пошлины.</w:t>
      </w:r>
    </w:p>
    <w:p>
      <w:pPr>
        <w:spacing w:after="60"/>
        <w:ind w:firstLine="567"/>
        <w:jc w:val="both"/>
      </w:pPr>
      <w:r>
        <w:rPr>
          <w:rFonts w:ascii="Arial" w:cs="Arial" w:eastAsia="Arial" w:hAnsi="Arial"/>
          <w:sz w:val="24"/>
          <w:szCs w:val="24"/>
        </w:rPr>
        <w:t xml:space="preserve">Государственная пошлина уплачивается в банки (филиалы) и иные финансово-кредитные учреждения, либо путем перечисления с банковского счета плательщика, либо через платежные терминалы.</w:t>
      </w:r>
    </w:p>
    <w:p>
      <w:pPr>
        <w:spacing w:after="60"/>
        <w:ind w:firstLine="567"/>
        <w:jc w:val="both"/>
      </w:pPr>
      <w:r>
        <w:rPr>
          <w:rFonts w:ascii="Arial" w:cs="Arial" w:eastAsia="Arial" w:hAnsi="Arial"/>
          <w:sz w:val="24"/>
          <w:szCs w:val="24"/>
        </w:rPr>
        <w:t xml:space="preserve">Государственная пошлина при обращении к государственному нотариусу уплачивается до совершения нотариального действия и выдачи документов, имеющих юридическое значение.</w:t>
      </w:r>
    </w:p>
    <w:p>
      <w:pPr>
        <w:spacing w:after="60"/>
        <w:ind w:firstLine="567"/>
        <w:jc w:val="both"/>
      </w:pPr>
      <w:r>
        <w:rPr>
          <w:rFonts w:ascii="Arial" w:cs="Arial" w:eastAsia="Arial" w:hAnsi="Arial"/>
          <w:sz w:val="24"/>
          <w:szCs w:val="24"/>
        </w:rPr>
        <w:t xml:space="preserve">Государственная пошлина при обращении к частному нотариусу для совершения нотариального действия, может уплачиваться самим частным нотариусом, как представителем плательщика.</w:t>
      </w:r>
    </w:p>
    <w:p>
      <w:pPr>
        <w:spacing w:after="60"/>
        <w:ind w:firstLine="567"/>
        <w:jc w:val="both"/>
      </w:pPr>
      <w:r>
        <w:rPr>
          <w:rFonts w:ascii="Arial" w:cs="Arial" w:eastAsia="Arial" w:hAnsi="Arial"/>
          <w:sz w:val="24"/>
          <w:szCs w:val="24"/>
        </w:rPr>
        <w:t xml:space="preserve">Взимаемая частным нотариусом государственная пошлина уплачивается единым платежом в течение семи календарных дней со дня совершения нотариального действия и выдачи документов, имеющих юридическое значение.</w:t>
      </w:r>
    </w:p>
    <w:p>
      <w:pPr>
        <w:spacing w:after="60"/>
        <w:ind w:firstLine="567"/>
        <w:jc w:val="both"/>
      </w:pPr>
      <w:r>
        <w:rPr>
          <w:rFonts w:ascii="Arial" w:cs="Arial" w:eastAsia="Arial" w:hAnsi="Arial"/>
          <w:sz w:val="24"/>
          <w:szCs w:val="24"/>
        </w:rPr>
        <w:t xml:space="preserve">В случае уплаты государственной пошлины через платежные терминалы или перечисления с банковского счета нотариусы дополнительно снимают ксерокопию платежного чека или квитанции (перевода) и приобщают к реестру регистраций нотариальных действий или к нотариальным актам.</w:t>
      </w:r>
    </w:p>
    <w:p>
      <w:pPr>
        <w:spacing w:after="60"/>
        <w:ind w:firstLine="567"/>
        <w:jc w:val="both"/>
      </w:pPr>
      <w:r>
        <w:rPr>
          <w:rFonts w:ascii="Arial" w:cs="Arial" w:eastAsia="Arial" w:hAnsi="Arial"/>
          <w:sz w:val="24"/>
          <w:szCs w:val="24"/>
        </w:rPr>
        <w:t xml:space="preserve">Государственные и частные нотариусы составляют и предоставляют отчетность по взимаемым государственным пошлинам администраторам в установленном порядке, в соответствии с законодательством о неналоговых доходах.";</w:t>
      </w:r>
    </w:p>
    <w:p>
      <w:pPr>
        <w:spacing w:after="60"/>
        <w:ind w:firstLine="567"/>
        <w:jc w:val="both"/>
      </w:pPr>
      <w:r>
        <w:rPr>
          <w:rFonts w:ascii="Arial" w:cs="Arial" w:eastAsia="Arial" w:hAnsi="Arial"/>
          <w:sz w:val="24"/>
          <w:szCs w:val="24"/>
        </w:rPr>
        <w:t xml:space="preserve">- в абзаце первом пункта 16 слова "ст.141" заменить словами "ст.144";</w:t>
      </w:r>
    </w:p>
    <w:p>
      <w:pPr>
        <w:spacing w:after="60"/>
        <w:ind w:firstLine="567"/>
        <w:jc w:val="both"/>
      </w:pPr>
      <w:r>
        <w:rPr>
          <w:rFonts w:ascii="Arial" w:cs="Arial" w:eastAsia="Arial" w:hAnsi="Arial"/>
          <w:sz w:val="24"/>
          <w:szCs w:val="24"/>
        </w:rPr>
        <w:t xml:space="preserve">- пункт 17 дополнить абзацем одиннадцатым следующего содержания:</w:t>
      </w:r>
    </w:p>
    <w:p>
      <w:pPr>
        <w:spacing w:after="60"/>
        <w:ind w:firstLine="567"/>
        <w:jc w:val="both"/>
      </w:pPr>
      <w:r>
        <w:rPr>
          <w:rFonts w:ascii="Arial" w:cs="Arial" w:eastAsia="Arial" w:hAnsi="Arial"/>
          <w:sz w:val="24"/>
          <w:szCs w:val="24"/>
        </w:rPr>
        <w:t xml:space="preserve">"После установления личности по представленным документам нотариус производит верификацию личности, в том числе с использованием информационной системы "Электронный нотариат" (далее - НС "Электронный нотариат") через систему межведомственного электронного взаимодействия "Тундук" (далее - СМЭВ "Тундук").";</w:t>
      </w:r>
    </w:p>
    <w:p>
      <w:pPr>
        <w:spacing w:after="60"/>
        <w:ind w:firstLine="567"/>
        <w:jc w:val="both"/>
      </w:pPr>
      <w:r>
        <w:rPr>
          <w:rFonts w:ascii="Arial" w:cs="Arial" w:eastAsia="Arial" w:hAnsi="Arial"/>
          <w:sz w:val="24"/>
          <w:szCs w:val="24"/>
        </w:rPr>
        <w:t xml:space="preserve">- пункт 18 дополнить абзацем вторым следующего содержания:</w:t>
      </w:r>
    </w:p>
    <w:p>
      <w:pPr>
        <w:spacing w:after="60"/>
        <w:ind w:firstLine="567"/>
        <w:jc w:val="both"/>
      </w:pPr>
      <w:r>
        <w:rPr>
          <w:rFonts w:ascii="Arial" w:cs="Arial" w:eastAsia="Arial" w:hAnsi="Arial"/>
          <w:sz w:val="24"/>
          <w:szCs w:val="24"/>
        </w:rPr>
        <w:t xml:space="preserve">"Правоспособность юридических лиц проверяется путем обозрения документов с использованием информации государственных органов через СМЭВ "Тундук", в том числе электронной базы данных юридических лиц, филиалов (представительств) и средств массовой информации и/или получения информации от государственных органов через СМЭВ "Тундук".";</w:t>
      </w:r>
    </w:p>
    <w:p>
      <w:pPr>
        <w:spacing w:after="60"/>
        <w:ind w:firstLine="567"/>
        <w:jc w:val="both"/>
      </w:pPr>
      <w:r>
        <w:rPr>
          <w:rFonts w:ascii="Arial" w:cs="Arial" w:eastAsia="Arial" w:hAnsi="Arial"/>
          <w:sz w:val="24"/>
          <w:szCs w:val="24"/>
        </w:rPr>
        <w:t xml:space="preserve">- абзац седьмой пункта 24 изложить в следующей редакции:</w:t>
      </w:r>
    </w:p>
    <w:p>
      <w:pPr>
        <w:spacing w:after="60"/>
        <w:ind w:firstLine="567"/>
        <w:jc w:val="both"/>
      </w:pPr>
      <w:r>
        <w:rPr>
          <w:rFonts w:ascii="Arial" w:cs="Arial" w:eastAsia="Arial" w:hAnsi="Arial"/>
          <w:sz w:val="24"/>
          <w:szCs w:val="24"/>
        </w:rPr>
        <w:t xml:space="preserve">"В удостоверительных надписях при освобождении от уплаты государственной пошлины следует делать ссылку на статью Кодекса Кыргызской Республики о неналоговых доходах, например: при свидетельствовании верности копий документов, необходимых для получения государственных пособий и пенсий указать "Освобожден от уплаты государственной пошлины на основании ч.1 ст 141 Кодекса Кыргызской Республики о неналоговых доходах".";</w:t>
      </w:r>
    </w:p>
    <w:p>
      <w:pPr>
        <w:spacing w:after="60"/>
        <w:ind w:firstLine="567"/>
        <w:jc w:val="both"/>
      </w:pPr>
      <w:r>
        <w:rPr>
          <w:rFonts w:ascii="Arial" w:cs="Arial" w:eastAsia="Arial" w:hAnsi="Arial"/>
          <w:sz w:val="24"/>
          <w:szCs w:val="24"/>
        </w:rPr>
        <w:t xml:space="preserve">- абзац третий пункта 27 изложить в следующей редакции:</w:t>
      </w:r>
    </w:p>
    <w:p>
      <w:pPr>
        <w:spacing w:after="60"/>
        <w:ind w:firstLine="567"/>
        <w:jc w:val="both"/>
      </w:pPr>
      <w:r>
        <w:rPr>
          <w:rFonts w:ascii="Arial" w:cs="Arial" w:eastAsia="Arial" w:hAnsi="Arial"/>
          <w:sz w:val="24"/>
          <w:szCs w:val="24"/>
        </w:rPr>
        <w:t xml:space="preserve">"- не принимают для совершения нотариальных действий документы, если они не соответствуют требованиям законодательства или содержат сведения, порочащие гражданина или иной субъект права, задевающие их честь и достоинство. Также отказывают в совершении нотариального действия, если ИС "Электронный нотариат" выдает сведения о недействительности предъявленного паспорта.";</w:t>
      </w:r>
    </w:p>
    <w:p>
      <w:pPr>
        <w:spacing w:after="60"/>
        <w:ind w:firstLine="567"/>
        <w:jc w:val="both"/>
      </w:pPr>
      <w:r>
        <w:rPr>
          <w:rFonts w:ascii="Arial" w:cs="Arial" w:eastAsia="Arial" w:hAnsi="Arial"/>
          <w:sz w:val="24"/>
          <w:szCs w:val="24"/>
        </w:rPr>
        <w:t xml:space="preserve">- в пункте 28:</w:t>
      </w:r>
    </w:p>
    <w:p>
      <w:pPr>
        <w:spacing w:after="60"/>
        <w:ind w:firstLine="567"/>
        <w:jc w:val="both"/>
      </w:pPr>
      <w:r>
        <w:rPr>
          <w:rFonts w:ascii="Arial" w:cs="Arial" w:eastAsia="Arial" w:hAnsi="Arial"/>
          <w:sz w:val="24"/>
          <w:szCs w:val="24"/>
        </w:rPr>
        <w:t xml:space="preserve">в абзаце первом слова "реестре регистрации нотариальных действий" заменить словами "электронном реестре ИС "Электронный нотариат", затем на бумажном носителе";</w:t>
      </w:r>
    </w:p>
    <w:p>
      <w:pPr>
        <w:spacing w:after="60"/>
        <w:ind w:firstLine="567"/>
        <w:jc w:val="both"/>
      </w:pPr>
      <w:r>
        <w:rPr>
          <w:rFonts w:ascii="Arial" w:cs="Arial" w:eastAsia="Arial" w:hAnsi="Arial"/>
          <w:sz w:val="24"/>
          <w:szCs w:val="24"/>
        </w:rPr>
        <w:t xml:space="preserve">абзац седьмой изложить в следующей редакции:</w:t>
      </w:r>
    </w:p>
    <w:p>
      <w:pPr>
        <w:spacing w:after="60"/>
        <w:ind w:firstLine="567"/>
        <w:jc w:val="both"/>
      </w:pPr>
      <w:r>
        <w:rPr>
          <w:rFonts w:ascii="Arial" w:cs="Arial" w:eastAsia="Arial" w:hAnsi="Arial"/>
          <w:sz w:val="24"/>
          <w:szCs w:val="24"/>
        </w:rPr>
        <w:t xml:space="preserve">"В графе 1 реестра для записи нотариальных действий указывается порядковый номер нотариального действия с начала года, который должен быть идентичным номеру в электронном реестре. Номер, под которым нотариальное действие зарегистрировано в едином электронном реестре нотариальных действий, указывается в выдаваемых нотариусом документах и в удостоверительных надписях на документах.";</w:t>
      </w:r>
    </w:p>
    <w:p>
      <w:pPr>
        <w:spacing w:after="60"/>
        <w:ind w:firstLine="567"/>
        <w:jc w:val="both"/>
      </w:pPr>
      <w:r>
        <w:rPr>
          <w:rFonts w:ascii="Arial" w:cs="Arial" w:eastAsia="Arial" w:hAnsi="Arial"/>
          <w:sz w:val="24"/>
          <w:szCs w:val="24"/>
        </w:rPr>
        <w:t xml:space="preserve">в абзаце четырнадцатом слова "ссылка на закон" заменить словами "ссылка на кодекс";</w:t>
      </w:r>
    </w:p>
    <w:p>
      <w:pPr>
        <w:spacing w:after="60"/>
        <w:ind w:firstLine="567"/>
        <w:jc w:val="both"/>
      </w:pPr>
      <w:r>
        <w:rPr>
          <w:rFonts w:ascii="Arial" w:cs="Arial" w:eastAsia="Arial" w:hAnsi="Arial"/>
          <w:sz w:val="24"/>
          <w:szCs w:val="24"/>
        </w:rPr>
        <w:t xml:space="preserve">- пункт 33 после слов "на недвижимое имущество/транспортные средства" дополнить словами ", в том числе путем запроса из Единого государственного реестра прав на недвижимое имущество, на автотранспортные средства из электронной базы автотранспортных средств уполномоченного органа через СМЭВ "Тундук";</w:t>
      </w:r>
    </w:p>
    <w:p>
      <w:pPr>
        <w:spacing w:after="60"/>
        <w:ind w:firstLine="567"/>
        <w:jc w:val="both"/>
      </w:pPr>
      <w:r>
        <w:rPr>
          <w:rFonts w:ascii="Arial" w:cs="Arial" w:eastAsia="Arial" w:hAnsi="Arial"/>
          <w:sz w:val="24"/>
          <w:szCs w:val="24"/>
        </w:rPr>
        <w:t xml:space="preserve">- абзац первый пункта 48 после слов "отчуждение и/или ареста на имущество" дополнить словами ", в том числе путем получения выписки из Единого государственного реестра прав на недвижимое имущество через СМЭВ "Тундук";</w:t>
      </w:r>
    </w:p>
    <w:p>
      <w:pPr>
        <w:spacing w:after="60"/>
        <w:ind w:firstLine="567"/>
        <w:jc w:val="both"/>
      </w:pPr>
      <w:r>
        <w:rPr>
          <w:rFonts w:ascii="Arial" w:cs="Arial" w:eastAsia="Arial" w:hAnsi="Arial"/>
          <w:sz w:val="24"/>
          <w:szCs w:val="24"/>
        </w:rPr>
        <w:t xml:space="preserve">- в абзаце первом пункта 88 слова "(п.4 ст.86)" исключить.</w:t>
      </w:r>
    </w:p>
    <w:p>
      <w:pPr>
        <w:spacing w:after="60"/>
        <w:ind w:firstLine="567"/>
        <w:jc w:val="both"/>
      </w:pPr>
      <w:r>
        <w:rPr>
          <w:rFonts w:ascii="Arial" w:cs="Arial" w:eastAsia="Arial" w:hAnsi="Arial"/>
          <w:sz w:val="24"/>
          <w:szCs w:val="24"/>
        </w:rPr>
        <w:t xml:space="preserve">2. Внести в </w:t>
      </w:r>
      <w:hyperlink w:history="1" r:id="rId2gvorjpgosszytqr4dq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6r3x3kivxbvhgmxfpzv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от 15 июля 2013 года № 412 следующие изменения:</w:t>
      </w:r>
    </w:p>
    <w:p>
      <w:pPr>
        <w:spacing w:after="60"/>
        <w:ind w:firstLine="567"/>
        <w:jc w:val="both"/>
      </w:pPr>
      <w:r>
        <w:rPr>
          <w:rFonts w:ascii="Arial" w:cs="Arial" w:eastAsia="Arial" w:hAnsi="Arial"/>
          <w:sz w:val="24"/>
          <w:szCs w:val="24"/>
        </w:rPr>
        <w:t xml:space="preserve">в </w:t>
      </w:r>
      <w:hyperlink w:history="1" r:id="rId0f2seufcr2q2avdliolz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утвержденной вышеуказанным </w:t>
      </w:r>
      <w:hyperlink w:history="1" r:id="rIdrugjbvlhszwpfpg_yeu7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8 дополнить предложением вторым следующего содержания:</w:t>
      </w:r>
    </w:p>
    <w:p>
      <w:pPr>
        <w:spacing w:after="60"/>
        <w:ind w:firstLine="567"/>
        <w:jc w:val="both"/>
      </w:pPr>
      <w:r>
        <w:rPr>
          <w:rFonts w:ascii="Arial" w:cs="Arial" w:eastAsia="Arial" w:hAnsi="Arial"/>
          <w:sz w:val="24"/>
          <w:szCs w:val="24"/>
        </w:rPr>
        <w:t xml:space="preserve">"Также консул отказывает в совершении нотариального действия, если информационная система "Электронный нотариат" (далее - ИС "Электронный нотариат") выдает сведения о недействительности предъявленного паспорта.";</w:t>
      </w:r>
    </w:p>
    <w:p>
      <w:pPr>
        <w:spacing w:after="60"/>
        <w:ind w:firstLine="567"/>
        <w:jc w:val="both"/>
      </w:pPr>
      <w:r>
        <w:rPr>
          <w:rFonts w:ascii="Arial" w:cs="Arial" w:eastAsia="Arial" w:hAnsi="Arial"/>
          <w:sz w:val="24"/>
          <w:szCs w:val="24"/>
        </w:rPr>
        <w:t xml:space="preserve">- в абзаце втором пункта 9 слова "реестре нотариальных действий" заменить словами "реестре для регистрации нотариальных действий на бумажном и электронном носителях";</w:t>
      </w:r>
    </w:p>
    <w:p>
      <w:pPr>
        <w:spacing w:after="60"/>
        <w:ind w:firstLine="567"/>
        <w:jc w:val="both"/>
      </w:pPr>
      <w:r>
        <w:rPr>
          <w:rFonts w:ascii="Arial" w:cs="Arial" w:eastAsia="Arial" w:hAnsi="Arial"/>
          <w:sz w:val="24"/>
          <w:szCs w:val="24"/>
        </w:rPr>
        <w:t xml:space="preserve">- абзац первый пункта 10 изложить в следующей редакции:</w:t>
      </w:r>
    </w:p>
    <w:p>
      <w:pPr>
        <w:spacing w:after="60"/>
        <w:ind w:firstLine="567"/>
        <w:jc w:val="both"/>
      </w:pPr>
      <w:r>
        <w:rPr>
          <w:rFonts w:ascii="Arial" w:cs="Arial" w:eastAsia="Arial" w:hAnsi="Arial"/>
          <w:sz w:val="24"/>
          <w:szCs w:val="24"/>
        </w:rPr>
        <w:t xml:space="preserve">"10. Нотариальные действия совершаются в день предъявления всех необходимых для этого документов, уплаты средств за оказание консульских услуг. Средства за оказание консульских услуг уплачиваются в банки (филиалы) и иные финансово-кредитные учреждения, либо путем перечисления с банковского счета плательщика, либо через платежные терминалы, установленные на территории заграничных учреждений Кыргызской Республики. В случае уплаты средств за оказание консульских услуг через платежные терминалы или перечисления с банковского счета консул дополнительно снимает ксерокопию платежного чека или квитанции (перевода) и приобщает к реестру регистраций нотариальных действий или к нотариальным актам.";</w:t>
      </w:r>
    </w:p>
    <w:p>
      <w:pPr>
        <w:spacing w:after="60"/>
        <w:ind w:firstLine="567"/>
        <w:jc w:val="both"/>
      </w:pPr>
      <w:r>
        <w:rPr>
          <w:rFonts w:ascii="Arial" w:cs="Arial" w:eastAsia="Arial" w:hAnsi="Arial"/>
          <w:sz w:val="24"/>
          <w:szCs w:val="24"/>
        </w:rPr>
        <w:t xml:space="preserve">- пункт 11 дополнить абзацем восьмым следующего содержания:</w:t>
      </w:r>
    </w:p>
    <w:p>
      <w:pPr>
        <w:spacing w:after="60"/>
        <w:ind w:firstLine="567"/>
        <w:jc w:val="both"/>
      </w:pPr>
      <w:r>
        <w:rPr>
          <w:rFonts w:ascii="Arial" w:cs="Arial" w:eastAsia="Arial" w:hAnsi="Arial"/>
          <w:sz w:val="24"/>
          <w:szCs w:val="24"/>
        </w:rPr>
        <w:t xml:space="preserve">"После установления личности по представленным документам консул производит верификацию личности, в том числе, с использованием ИС "Электронный нотариат" через систему межведомственного электронного взаимодействия "Тундук" (далее - СМЭВ "Тундук").";</w:t>
      </w:r>
    </w:p>
    <w:p>
      <w:pPr>
        <w:spacing w:after="60"/>
        <w:ind w:firstLine="567"/>
        <w:jc w:val="both"/>
      </w:pPr>
      <w:r>
        <w:rPr>
          <w:rFonts w:ascii="Arial" w:cs="Arial" w:eastAsia="Arial" w:hAnsi="Arial"/>
          <w:sz w:val="24"/>
          <w:szCs w:val="24"/>
        </w:rPr>
        <w:t xml:space="preserve">- пункт 12 дополнить абзацем вторым следующего содержания:</w:t>
      </w:r>
    </w:p>
    <w:p>
      <w:pPr>
        <w:spacing w:after="60"/>
        <w:ind w:firstLine="567"/>
        <w:jc w:val="both"/>
      </w:pPr>
      <w:r>
        <w:rPr>
          <w:rFonts w:ascii="Arial" w:cs="Arial" w:eastAsia="Arial" w:hAnsi="Arial"/>
          <w:sz w:val="24"/>
          <w:szCs w:val="24"/>
        </w:rPr>
        <w:t xml:space="preserve">"Правоспособность юридических лиц Кыргызской Республики проверяется путем обозрения документов с использованием информации государственных органов через СМЭВ "Тундук", в том числе электронной базы данных юридических лиц, филиалов (представительств) и СМИ и/или получения информации от государственных органов через СМЭВ "Тундук".";</w:t>
      </w:r>
    </w:p>
    <w:p>
      <w:pPr>
        <w:spacing w:after="60"/>
        <w:ind w:firstLine="567"/>
        <w:jc w:val="both"/>
      </w:pPr>
      <w:r>
        <w:rPr>
          <w:rFonts w:ascii="Arial" w:cs="Arial" w:eastAsia="Arial" w:hAnsi="Arial"/>
          <w:sz w:val="24"/>
          <w:szCs w:val="24"/>
        </w:rPr>
        <w:t xml:space="preserve">- в пункте 25:</w:t>
      </w:r>
    </w:p>
    <w:p>
      <w:pPr>
        <w:spacing w:after="60"/>
        <w:ind w:firstLine="567"/>
        <w:jc w:val="both"/>
      </w:pPr>
      <w:r>
        <w:rPr>
          <w:rFonts w:ascii="Arial" w:cs="Arial" w:eastAsia="Arial" w:hAnsi="Arial"/>
          <w:sz w:val="24"/>
          <w:szCs w:val="24"/>
        </w:rPr>
        <w:t xml:space="preserve">в абзаце первом слово "реестре" заменить словами "электронном реестре ИС "Электронный нотариат", затем на бумажном носителе";</w:t>
      </w:r>
    </w:p>
    <w:p>
      <w:pPr>
        <w:spacing w:after="60"/>
        <w:ind w:firstLine="567"/>
        <w:jc w:val="both"/>
      </w:pPr>
      <w:r>
        <w:rPr>
          <w:rFonts w:ascii="Arial" w:cs="Arial" w:eastAsia="Arial" w:hAnsi="Arial"/>
          <w:sz w:val="24"/>
          <w:szCs w:val="24"/>
        </w:rPr>
        <w:t xml:space="preserve">абзац седьмой изложить в следующей редакции:</w:t>
      </w:r>
    </w:p>
    <w:p>
      <w:pPr>
        <w:spacing w:after="60"/>
        <w:ind w:firstLine="567"/>
        <w:jc w:val="both"/>
      </w:pPr>
      <w:r>
        <w:rPr>
          <w:rFonts w:ascii="Arial" w:cs="Arial" w:eastAsia="Arial" w:hAnsi="Arial"/>
          <w:sz w:val="24"/>
          <w:szCs w:val="24"/>
        </w:rPr>
        <w:t xml:space="preserve">"Нумерация в реестре с начала каждого календарного года ведется с первого порядкового номера, который должен быть идентичным номеру в электронном реестре. Номер, под которым нотариальное действие зарегистрировано в едином электронном реестре нотариальных действий, указывается в выдаваемых нотариусом документах и в удостоверительных надписях на документах.";</w:t>
      </w:r>
    </w:p>
    <w:p>
      <w:pPr>
        <w:spacing w:after="60"/>
        <w:ind w:firstLine="567"/>
        <w:jc w:val="both"/>
      </w:pPr>
      <w:r>
        <w:rPr>
          <w:rFonts w:ascii="Arial" w:cs="Arial" w:eastAsia="Arial" w:hAnsi="Arial"/>
          <w:sz w:val="24"/>
          <w:szCs w:val="24"/>
        </w:rPr>
        <w:t xml:space="preserve">- пункт 55 после слов "Министерства иностранных дел Кыргызской Республики" дополнить словами ", лицо проверяет путем запроса из Единого государственного реестра прав на недвижимое имущество, на автотранспортные средства из электронной базы автотранспортных средств уполномоченного органа через СМЭВ "Тундук".</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betaxb7tpes-uzlivzft">
      <w:r>
        <w:rPr>
          <w:rFonts w:ascii="Arial" w:cs="Arial" w:eastAsia="Arial" w:hAnsi="Arial"/>
          <w:color w:val="132D3F"/>
          <w:sz w:val="16"/>
          <w:szCs w:val="16"/>
          <w:u w:val="single"/>
        </w:rPr>
        <w:t xml:space="preserve">dalil.kg/document/157639</w:t>
      </w:r>
    </w:hyperlink>
  </w:p>
  <w:p>
    <w:pPr>
      <w:spacing w:after="0" w:before="40"/>
      <w:jc w:val="center"/>
    </w:pPr>
    <w:hyperlink w:history="1" r:id="rIdsf4-x4qrlscdahrwcm7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53_nqmmync_6uihna8b" Type="http://schemas.openxmlformats.org/officeDocument/2006/relationships/hyperlink" Target="https://dalil.kg/document/111986" TargetMode="External"/><Relationship Id="rIdrgvy00f_j6gkcmzquzqwb" Type="http://schemas.openxmlformats.org/officeDocument/2006/relationships/hyperlink" Target="https://dalil.kg/document/111820" TargetMode="External"/><Relationship Id="rIdy-oe05g09l3zrficrk6zh" Type="http://schemas.openxmlformats.org/officeDocument/2006/relationships/hyperlink" Target="https://dalil.kg/document/203685#st_10" TargetMode="External"/><Relationship Id="rId1bwoswcuzl64p1-rqak0q" Type="http://schemas.openxmlformats.org/officeDocument/2006/relationships/hyperlink" Target="https://dalil.kg/document/203685#st_17" TargetMode="External"/><Relationship Id="rIdgetm2sahstgtzhkapvdlo" Type="http://schemas.openxmlformats.org/officeDocument/2006/relationships/hyperlink" Target="https://dalil.kg/document/95037" TargetMode="External"/><Relationship Id="rIdl8n8pbkargea3nfopuxll" Type="http://schemas.openxmlformats.org/officeDocument/2006/relationships/hyperlink" Target="https://dalil.kg/document/95038" TargetMode="External"/><Relationship Id="rIdqq0m1chwopa4er6ben2ya" Type="http://schemas.openxmlformats.org/officeDocument/2006/relationships/hyperlink" Target="https://dalil.kg/document/95037" TargetMode="External"/><Relationship Id="rId-s1tzjq4yysvgu4miqx1t" Type="http://schemas.openxmlformats.org/officeDocument/2006/relationships/hyperlink" Target="https://dalil.kg/document/202913" TargetMode="External"/><Relationship Id="rId_a_yngsgwbecj7sp29k-n" Type="http://schemas.openxmlformats.org/officeDocument/2006/relationships/hyperlink" Target="https://dalil.kg/document/111820" TargetMode="External"/><Relationship Id="rIdpzwmmj2dydzehusxz0r-d" Type="http://schemas.openxmlformats.org/officeDocument/2006/relationships/hyperlink" Target="https://dalil.kg/document/13491" TargetMode="External"/><Relationship Id="rId2gvorjpgosszytqr4dqe4" Type="http://schemas.openxmlformats.org/officeDocument/2006/relationships/hyperlink" Target="https://dalil.kg/document/94593" TargetMode="External"/><Relationship Id="rIdi6r3x3kivxbvhgmxfpzvl" Type="http://schemas.openxmlformats.org/officeDocument/2006/relationships/hyperlink" Target="https://dalil.kg/document/94594" TargetMode="External"/><Relationship Id="rId0f2seufcr2q2avdliolzl" Type="http://schemas.openxmlformats.org/officeDocument/2006/relationships/hyperlink" Target="https://dalil.kg/document/94594" TargetMode="External"/><Relationship Id="rIdrugjbvlhszwpfpg_yeu7j" Type="http://schemas.openxmlformats.org/officeDocument/2006/relationships/hyperlink" Target="https://dalil.kg/document/9459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betaxb7tpes-uzlivzft" Type="http://schemas.openxmlformats.org/officeDocument/2006/relationships/hyperlink" Target="https://dalil.kg/document/157639" TargetMode="External"/><Relationship Id="rIdsf4-x4qrlscdahrwcm7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2026-09-24T18:24:03.949Z</dcterms:created>
  <dcterms:modified xsi:type="dcterms:W3CDTF">2026-09-24T18:24:03.949Z</dcterms:modified>
</cp:coreProperties>
</file>

<file path=docProps/custom.xml><?xml version="1.0" encoding="utf-8"?>
<Properties xmlns="http://schemas.openxmlformats.org/officeDocument/2006/custom-properties" xmlns:vt="http://schemas.openxmlformats.org/officeDocument/2006/docPropsVTypes"/>
</file>