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12 июня 2020 года № 333</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В соответствии со </w:t>
      </w:r>
      <w:hyperlink w:history="1" r:id="rIdviexhmqgkcmophi0jifbv">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a6xwiai5cyxk09rxpa6g6">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yzhrqws2t-mqeajr1jjv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инициированный депутатом Жогорку Кенеша Кыргызской Республики Пирматовым И.А.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12 июня 2020 года № 333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В соответствии со </w:t>
      </w:r>
      <w:hyperlink w:history="1" r:id="rIdzblpbgdfthvnkizx8houp">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w:t>
      </w:r>
      <w:hyperlink w:history="1" r:id="rIdi8g6qa47rqy05mdurwhc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инициированный депутатом Жогорку Кенеша Кыргызской Республики Пирматовым И.А.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Законопроектом вносится дополнение в </w:t>
      </w:r>
      <w:hyperlink w:history="1" r:id="rIdnuysk0qswclpcyvs1halp">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где предусматривается, что приграничные трудящиеся-мигранты будут освобождены от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Согласно действующему законодательству тарифы страховых взносов для иностранных граждан и лиц без гражданства, временно пребывающих в Кыргызской Республике, занятых индивидуальной предпринимательской деятельностью, в том числе на рынках, установлены ежемесячно в размере 3 процентов от размера среднемесячной заработной платы в солидарную часть Пенсионного фонда. Размер среднемесячной заработной платы, принимаемый для исчисления страховых взносов для отдельных категорий плательщиков страховых взносов - это установленный Национальным статистическим комитетом Кыргызской Республики размер среднемесячной заработной платы, сложившийся в районах и городах республики за предыдущий календарный год. Так, среднемесячная заработная плата за 2018 год для исчисления страховых взносов на период с 1 января 2020 года по 31 декабря 2020 года по Кыргызской Республике составила 16427 сомов, при ставке тарифа в размере 3 процентов сумма к уплате составит 493 сомов. При этом отмечаем, что в регионах и городах республики среднемесячный размер заработной платы ниже. Так в Иссык-Кульской области - 12001 сомов, Джалал-Абадской области - 14600 сомов, Нарынской области - 14925 сомов, Баткенской области - 11026 сомов, Ошской области - 10307 сомов, Таласской области - 12511 сомов, Чуйской области - 14114 сомов. Отмечаем, что ставка тарифа страхового взноса для иностранных граждан и лиц без гражданства, временно пребывающих в Кыргызской Республике, установлена независимо от вида их предпринимательской деятельности и не зависит от сумм получаемых доходов на территории Кыргызской Республики.</w:t>
      </w:r>
    </w:p>
    <w:p>
      <w:pPr>
        <w:spacing w:after="60"/>
        <w:ind w:firstLine="567"/>
        <w:jc w:val="both"/>
      </w:pPr>
      <w:r>
        <w:rPr>
          <w:rFonts w:ascii="Arial" w:cs="Arial" w:eastAsia="Arial" w:hAnsi="Arial"/>
          <w:sz w:val="24"/>
          <w:szCs w:val="24"/>
        </w:rPr>
        <w:t xml:space="preserve">Согласно статье 21 Закона Кыргызской Республики "О внешней трудовой миграции" трудящиеся-мигранты подлежат государственному социальному страхованию и пользуются пособиями по государственному страхованию и пенсионным обеспечением на условиях, предусмотренных законодательством Кыргызской Республики и международными договорами.</w:t>
      </w:r>
    </w:p>
    <w:p>
      <w:pPr>
        <w:spacing w:after="60"/>
        <w:ind w:firstLine="567"/>
        <w:jc w:val="both"/>
      </w:pPr>
      <w:r>
        <w:rPr>
          <w:rFonts w:ascii="Arial" w:cs="Arial" w:eastAsia="Arial" w:hAnsi="Arial"/>
          <w:sz w:val="24"/>
          <w:szCs w:val="24"/>
        </w:rPr>
        <w:t xml:space="preserve">Кроме того, в соответствии с Конвенцией МОТ о равноправии граждан страны и иностранцев, лиц без гражданства в области социального обеспечения от 6 июня 1962 года № 118, ратифицированной постановлением Жогорку Кенеша Кыргызской Республики от 12 января 1994 года № 1412-XII и Конвенцией МОТ от 21 июня 1982 года № 157, ратифицированной постановлением Жогорку Кенеша Кыргызской Республики от 12 января 1994 года № 1413-Х</w:t>
      </w:r>
      <w:r>
        <w:rPr>
          <w:rFonts w:ascii="Arial" w:cs="Arial" w:eastAsia="Arial" w:hAnsi="Arial"/>
          <w:sz w:val="24"/>
          <w:szCs w:val="24"/>
        </w:rPr>
        <w:t xml:space="preserve">II</w:t>
      </w:r>
      <w:r>
        <w:rPr>
          <w:rFonts w:ascii="Arial" w:cs="Arial" w:eastAsia="Arial" w:hAnsi="Arial"/>
          <w:sz w:val="24"/>
          <w:szCs w:val="24"/>
        </w:rPr>
        <w:t xml:space="preserve"> каждое государство-член гарантирует выплату денежных пособий по инвалидности, старости и потере кормильца, в случаях трудового увечья и смерти, право на которое приобретено по его законодательству по принципу "пропорциональности", при условии подписания международного договора между государствами в области пенсионного обеспечения.</w:t>
      </w:r>
    </w:p>
    <w:p>
      <w:pPr>
        <w:spacing w:after="60"/>
        <w:ind w:firstLine="567"/>
        <w:jc w:val="both"/>
      </w:pPr>
      <w:r>
        <w:rPr>
          <w:rFonts w:ascii="Arial" w:cs="Arial" w:eastAsia="Arial" w:hAnsi="Arial"/>
          <w:sz w:val="24"/>
          <w:szCs w:val="24"/>
        </w:rPr>
        <w:t xml:space="preserve">Также 20 декабря 2019 года в городе Санкт-Петербург на заседании Высшего Евразийского экономического совета главами государств-членов Евразийского экономического союза (далее - ЕАЭС) подписано Соглашение о пенсионном обеспечении трудящихся государств-членов Евразийского экономического союза, предусматривающее обеспечение равных прав в сфере пенсионного обеспечения, защиту приобретенных трудящимся пенсионных прав на территориях государств-членов ЕАЭС, что имеет огромное значение для самих мигрантов. Таким образом, иностранные граждане, прибывшие из государств-членов ЕАЭС, в том числе из Республики Казахстан, после вступления в силу Соглашения будут производить уплату страховых взносов наравне с гражданами Кыргызской Республики и иметь право на пенсионное обеспечение. Такие же права и обязанности возникнут у граждан Кыргызской Республики, трудящихся на территории государств-членов ЕАЭС. Следует отметить, что в настоящее время также актуален вопрос разработки таких Соглашений с Республикой Узбекистан и Таджикистаном.</w:t>
      </w:r>
    </w:p>
    <w:p>
      <w:pPr>
        <w:spacing w:after="60"/>
        <w:ind w:firstLine="567"/>
        <w:jc w:val="both"/>
      </w:pPr>
      <w:r>
        <w:rPr>
          <w:rFonts w:ascii="Arial" w:cs="Arial" w:eastAsia="Arial" w:hAnsi="Arial"/>
          <w:sz w:val="24"/>
          <w:szCs w:val="24"/>
        </w:rPr>
        <w:t xml:space="preserve">В соответствии с законодательством в сфере государственного социального страхования Кыргызской Республики уплаченные страховые взносы учитываются на личных страховых счетах граждан и отражаются на размере пенсии. Размер будущей пенсии напрямую зависит от размера внесенных страховых взносов и периода их уплаты. Чем выше сумма внесенных страховых взносов, тем больше пенсионных накоплений на личном страховом счете.</w:t>
      </w:r>
    </w:p>
    <w:p>
      <w:pPr>
        <w:spacing w:after="60"/>
        <w:ind w:firstLine="567"/>
        <w:jc w:val="both"/>
      </w:pPr>
      <w:r>
        <w:rPr>
          <w:rFonts w:ascii="Arial" w:cs="Arial" w:eastAsia="Arial" w:hAnsi="Arial"/>
          <w:sz w:val="24"/>
          <w:szCs w:val="24"/>
        </w:rPr>
        <w:t xml:space="preserve">Также, необходимо учитывать вопрос конкуренции трудовых мигрантов с местной рабочей силой; кроме того заработанные деньги мигранты вывозят из страны. Как показывает международный опыт механизм регулирования миграции рабочей силы нацелен на обеспечение приоритетного использования национальных трудовых ресурсов с учетом ситуации на рынке труда и защиты национального рынка труда, а также на обеспечение контроля за привлечением и использованием иностранной рабочей силы. Так, например, иммиграционная политика стран Европейского Союза (далее - ЕС) имеет общие тенденции, направленные на ограничение въезда в страну низкоквалифицированной рабочей силы, на борьбу с нелегальной иммиграцией и унификацию национальных правовых норм в отношении иностранцев, находящихся на территории стран ЕС. Все государства стремятся выработать такие механизмы регулирования внешней трудовой миграции, которые отвечали бы интересам государства и его граждан, предпринимателей и самих иммигрантов, а также соответствовали международным нормам.</w:t>
      </w:r>
    </w:p>
    <w:p>
      <w:pPr>
        <w:spacing w:after="60"/>
        <w:ind w:firstLine="567"/>
        <w:jc w:val="both"/>
      </w:pPr>
      <w:r>
        <w:rPr>
          <w:rFonts w:ascii="Arial" w:cs="Arial" w:eastAsia="Arial" w:hAnsi="Arial"/>
          <w:sz w:val="24"/>
          <w:szCs w:val="24"/>
        </w:rPr>
        <w:t xml:space="preserve">Кроме того, в рамках Плана действий Правительства Кыргызской Республики на 2020 год по восстановлению экономической активности и поддержки деятельности субъектов предпринимательства Правительством Кыргызской Республики, в соответствии с </w:t>
      </w:r>
      <w:hyperlink w:history="1" r:id="rId-3qr9h7tcx-oemb-rbe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2020 года № 210, принят ряд мер по предоставлению плательщикам страховых взносов отсрочек по сдаче отчетности за период с 1 марта по 31 мая текущего года, не начислении пени за несвоевременную уплату страховых взносов на сумму недоимки за аналогичные отчетные периоды, также рассматривается вопрос освобождения индивидуальных предпринимателей от уплаты страховых взносов с мая по август месяцы текущего года. В этой связи, необходимо будет изыскание дополнительных средств из республиканского бюджета для восполнения выпадающих доходов бюджета Пенсионного фонда в целях своевременного финансирования пенсий и пособий и исключения риска усиления социальной напряженности вследствие недовольства граждан.</w:t>
      </w:r>
    </w:p>
    <w:p>
      <w:pPr>
        <w:spacing w:after="60"/>
        <w:ind w:firstLine="567"/>
        <w:jc w:val="both"/>
      </w:pPr>
      <w:r>
        <w:rPr>
          <w:rFonts w:ascii="Arial" w:cs="Arial" w:eastAsia="Arial" w:hAnsi="Arial"/>
          <w:sz w:val="24"/>
          <w:szCs w:val="24"/>
        </w:rPr>
        <w:t xml:space="preserve">При этом отмечаем, что предлагаемая проектом Закона норма по освобождению от уплаты страховых взносов по государственному социальному страхованию приграничных трудовых мигрантов также повлечет снижение доходной части бюджета Пенсионного фонда, не окажет влияния на легализацию их трудовой деятельности и на пресечение коррупционных механизмов при осуществлении контроля за трудовой миграцией граждан сопредельных государств, на пополнение бюджета за счет средств, поступивших от выдачи патентов на индивидуальную трудовую деятельность. Также последуют риски того, что работодателям будет выгоднее нанимать приграничных трудящихся-мигрантов, чем местных работников в целях уклонения от уплаты страховых взносов, что приведет к сокращению занятости среди местного населения.</w:t>
      </w:r>
    </w:p>
    <w:p>
      <w:pPr>
        <w:spacing w:after="60"/>
        <w:ind w:firstLine="567"/>
        <w:jc w:val="both"/>
      </w:pPr>
      <w:r>
        <w:rPr>
          <w:rFonts w:ascii="Arial" w:cs="Arial" w:eastAsia="Arial" w:hAnsi="Arial"/>
          <w:sz w:val="24"/>
          <w:szCs w:val="24"/>
        </w:rPr>
        <w:t xml:space="preserve">На основании вышеизложенного, учитывая конституционное право граждан Кыргызской Республики на социальное обеспечение в старости, в случае болезни и утраты трудоспособности, потери кормильца в случаях и порядке, предусмотренных законом (</w:t>
      </w:r>
      <w:hyperlink w:history="1" r:id="rIdweylyup0qyuwl7mxwrqwc">
        <w:r>
          <w:rPr>
            <w:rFonts w:ascii="Arial" w:cs="Arial" w:eastAsia="Arial" w:hAnsi="Arial"/>
            <w:color w:val="1D4ED8"/>
            <w:sz w:val="24"/>
            <w:szCs w:val="24"/>
            <w:u w:val="single"/>
          </w:rPr>
          <w:t xml:space="preserve">ст.53</w:t>
        </w:r>
      </w:hyperlink>
      <w:r>
        <w:rPr>
          <w:rFonts w:ascii="Arial" w:cs="Arial" w:eastAsia="Arial" w:hAnsi="Arial"/>
          <w:sz w:val="24"/>
          <w:szCs w:val="24"/>
        </w:rPr>
        <w:t xml:space="preserve"> Конституции Кыргызской Республики), на занятие вакантных рабочих мест, защиту внутреннего рынка труда от притока иностранной рабочей силы, Правительство Кыргызской Республики считает принятие проекта Закона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yb2ktc-dsvm1usthr-b">
      <w:r>
        <w:rPr>
          <w:rFonts w:ascii="Arial" w:cs="Arial" w:eastAsia="Arial" w:hAnsi="Arial"/>
          <w:color w:val="132D3F"/>
          <w:sz w:val="16"/>
          <w:szCs w:val="16"/>
          <w:u w:val="single"/>
        </w:rPr>
        <w:t xml:space="preserve">dalil.kg/document/157654</w:t>
      </w:r>
    </w:hyperlink>
  </w:p>
  <w:p>
    <w:pPr>
      <w:spacing w:after="0" w:before="40"/>
      <w:jc w:val="center"/>
    </w:pPr>
    <w:hyperlink w:history="1" r:id="rIdthcxhjrx3b9nowsdb8x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iexhmqgkcmophi0jifbv" Type="http://schemas.openxmlformats.org/officeDocument/2006/relationships/hyperlink" Target="https://dalil.kg/document/203685#st_31" TargetMode="External"/><Relationship Id="rIda6xwiai5cyxk09rxpa6g6" Type="http://schemas.openxmlformats.org/officeDocument/2006/relationships/hyperlink" Target="https://dalil.kg/document/157654#pr" TargetMode="External"/><Relationship Id="rIdyzhrqws2t-mqeajr1jjvi" Type="http://schemas.openxmlformats.org/officeDocument/2006/relationships/hyperlink" Target="https://dalil.kg/document/1393" TargetMode="External"/><Relationship Id="rIdzblpbgdfthvnkizx8houp" Type="http://schemas.openxmlformats.org/officeDocument/2006/relationships/hyperlink" Target="https://dalil.kg/document/203685#st_31" TargetMode="External"/><Relationship Id="rIdi8g6qa47rqy05mdurwhc2" Type="http://schemas.openxmlformats.org/officeDocument/2006/relationships/hyperlink" Target="https://dalil.kg/document/1393" TargetMode="External"/><Relationship Id="rIdnuysk0qswclpcyvs1halp" Type="http://schemas.openxmlformats.org/officeDocument/2006/relationships/hyperlink" Target="https://dalil.kg/document/1393#st_11" TargetMode="External"/><Relationship Id="rId-3qr9h7tcx-oemb-rbecs" Type="http://schemas.openxmlformats.org/officeDocument/2006/relationships/hyperlink" Target="https://dalil.kg/document/157655" TargetMode="External"/><Relationship Id="rIdweylyup0qyuwl7mxwrqwc" Type="http://schemas.openxmlformats.org/officeDocument/2006/relationships/hyperlink" Target="https://dalil.kg/document/202913#st_5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yb2ktc-dsvm1usthr-b" Type="http://schemas.openxmlformats.org/officeDocument/2006/relationships/hyperlink" Target="https://dalil.kg/document/157654" TargetMode="External"/><Relationship Id="rIdthcxhjrx3b9nowsdb8x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2026-09-30T18:00:09.707Z</dcterms:created>
  <dcterms:modified xsi:type="dcterms:W3CDTF">2026-09-30T18:00:09.707Z</dcterms:modified>
</cp:coreProperties>
</file>

<file path=docProps/custom.xml><?xml version="1.0" encoding="utf-8"?>
<Properties xmlns="http://schemas.openxmlformats.org/officeDocument/2006/custom-properties" xmlns:vt="http://schemas.openxmlformats.org/officeDocument/2006/docPropsVTypes"/>
</file>