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vvj5g0nlppls1hdek3kqd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08 апреля 2022 года №193)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июня 2020 года № 356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мерах по внедрению электронной системы фискализации налоговых процедур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degu78xdjjswmttibtrs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октября 2020 года № 514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82le8viifdjcucylu0w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января 2021 года № 20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1hy-6b7xmfmfpvll3uvi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марта 2021 года № 123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совершенствования применения контрольно-кассовых машин в рамках внедрения электронной системы фискализации налоговых процедур, в соответствии со статьями </w:t>
      </w:r>
      <w:hyperlink w:history="1" r:id="rIdaak4d4cytqb5v1lo0rn6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pyx-w6ko2wxo0g6jnxmn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109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lhgfahuhnkgc5xan_hhc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регистрации и применения контрольно-кассовых машин согласно приложению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-izkk2wfdwaxzyfq2yt8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субъектов, которые в силу специфики своей деятельности либо особенностей местонахождения могут осуществлять денежные расчеты без применения контрольно-кассовых машин, согласно приложению 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6qazzui05dolsk0fmlku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Технические требования</w:t>
        </w:r>
      </w:hyperlink>
      <w:r>
        <w:rPr>
          <w:rFonts w:ascii="Arial" w:cs="Arial" w:eastAsia="Arial" w:hAnsi="Arial"/>
          <w:sz w:val="24"/>
          <w:szCs w:val="24"/>
        </w:rPr>
        <w:t xml:space="preserve"> к контрольно-кассовым машинам и требования к центрам технического обслуживания контрольно-кассовых машин согласно приложению 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5wc0lmgr_jfssaouk5ut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выдачи технического заключения к контрольно-кассовым машинам и формирования реестра контрольно-кассовых машин согласно приложению 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qfsiewjfzlh0bibm4lok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Требования</w:t>
        </w:r>
      </w:hyperlink>
      <w:r>
        <w:rPr>
          <w:rFonts w:ascii="Arial" w:cs="Arial" w:eastAsia="Arial" w:hAnsi="Arial"/>
          <w:sz w:val="24"/>
          <w:szCs w:val="24"/>
        </w:rPr>
        <w:t xml:space="preserve"> к оператору фискальных данных согласно приложению 5;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w40iinpt1m0orvwalxvl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Типовые 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эксплуатации контрольно-кассовых машин согласно приложению 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vpmy5jzkpnc81gmngqtu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График</w:t>
        </w:r>
      </w:hyperlink>
      <w:r>
        <w:rPr>
          <w:rFonts w:ascii="Arial" w:cs="Arial" w:eastAsia="Arial" w:hAnsi="Arial"/>
          <w:sz w:val="24"/>
          <w:szCs w:val="24"/>
        </w:rPr>
        <w:t xml:space="preserve"> перехода и применения субъектами контрольно-кассовых машин в рамках внедрения электронной системы фискализации налоговых процедур согласно приложению 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0qod3i1m61y1utejfqxd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внедрению электронной системы фискализации налоговых процедур" от 17 декабря 2019 года № 691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пункты 1, 9 и 10 признать утратившими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11 слова "за исключением подпунктов 3 и 4 пункта 1 настоящего постановления, которые вступают в силу с 1 июля 2020 года" исключить.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Государственному комитету информационных технологий и связи Кыргызской Республики совместно с Государственной налоговой службой при Правительстве Кыргызской Республики и Министерством экономики Кыргызской Республики принять необходимые меры по реализации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Государственной налоговой службе при Правительстве Кыргызской Республики сформировать временный реестр контрольно-кассовых машин сроком действия до 31 декабря 2022 года и включить в него, без процедуры прохождения соответствия техническим требованиям к контрольно-кассовым машинам, модели контрольно-кассовых машин с функцией передачи фискальных данных в режиме реального времени, зарегистрированные в автоматизированной информационной системе уполномоченного налогового органа и используемые субъектами.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Установить, что: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 июля 2021 года на территории Кыргызской Республики не подлежат регистрации контрольно-кассовые машины, не соответствующие Техническим требованиям к контрольно-кассовым машинам и требованиям к центрам технического обслуживания контрольно-кассовых машин, утвержденным настоящим постановлением;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субъекты, использующие старые образцы контрольно-кассовых машин без функции передачи фискальных данных в режиме реального времени, зарегистрированные в налоговых органах, имеют право на их применение до 1 июля 2021 года исключительно при условии их исправности;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субъекты, зарегистрировавшие в автоматизированной информационной системе уполномоченного налогового органа и использующие контрольно-кассовые машины с функцией передачи фискальных данных в режиме реального времени, имеют право применять их до истечения сроков перехода и при условиях, установленных графиком, утвержденным пунктом 1 настоящего постановления;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требования к субъекту по выполнению кассовых расчетных операций, такие как предоплата (аванс) и постоплата (кредит) при денежных расчетах с покупателями или клиентами с применением контрольно-кассовых машин, вступает в силу с 1 июля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сроки исполнения требований об обязательном обеспечении отображения в кассовых чеках и передаче в уполномоченный налоговый орган и/или оператору фискальных данных информации в режиме реального времени о кодах средств идентификации товаров (маркировке товаров) устанавливаются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_shko8z7qt0wd6dbvcgk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октября 2020 года № 514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se_aawmpwd6b9hl3vww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января 2021 года № 20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xvx8jkzmnznhq0ybiuo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марта 2021 года № 123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Признать утратившим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 1 июля 2020 года: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</w:t>
      </w:r>
      <w:hyperlink w:history="1" r:id="rIdg9nz4jddbivlyn2_arvd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Государственного реестр</w:t>
      </w: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 контрольно-кассовых машин, разрешенных к использованию на территории Кыргызской Республики, и Правил его формирования" от 29 декабря 2009 года № 817;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j9bwratwwnl-jjcbrpoq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в </w:t>
      </w:r>
      <w:hyperlink w:history="1" r:id="rIdyforlh527lwu20patrou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Государственного реестра контрольно-кассовых машин, разрешенных к использованию на территории Кыргызской Республики, и Правил его формирования" от 29 декабря 2009 года № 817" от 18 апреля 2014 года № 226;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augnjbpkbjehb5buycaz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дополнения в </w:t>
      </w:r>
      <w:hyperlink w:history="1" r:id="rIdaeycwxmbfxpqbw2ibbay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Государственный реестра контрольно-кассовых машин, разрешенных к использованию на территории Кыргызской Республики, и Правил его формирования" от 29 декабря 2009 года № 817" от 26 ноября 2015 года № 806;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</w:t>
      </w:r>
      <w:hyperlink w:history="1" r:id="rIdcx3xfuktzqmcswaln3-w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"Об утверждении Технических требований к моделям контрольно-кассовых машин, разрешенных к использованию на территории Кыргызской Республики" от 6 июля 2010 года № 116;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</w:t>
      </w:r>
      <w:hyperlink w:history="1" r:id="rIdijlrqzd-9bk9gva_bcvz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Республики" от 17 апреля 2013 года № 203;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2z4slzsycvfmvb6p9vyl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и дополнения в </w:t>
      </w:r>
      <w:hyperlink w:history="1" r:id="rIdgwsvlwidp1kz0ai9hija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Государственного реестра контрольно-кассовых машин, разрешенных к использованию на территории Кыргызской Республики, и Правил его формирования" от 29 декабря 2009 года № 817" от 8 июля 2016 года № 378;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 31 декабря 2022 года: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hw5q3lxaykchdv0chk3g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внедрению механизма применения контрольно-кассовых машин с функцией передачи данных в режиме онлайн" от 15 июня 2016 года № 324;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oatlhkh7gcjyoki6ud6k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qmpbvoa-r1gvepo59db7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внедрению механизма применения контрольно-кассовых машин с функцией передачи данных в режиме онлайн" от 15 июня 2016 года № 324" от 29 ноября 2016 года № 633;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ebe5sq9her2kqnydtscm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20xixfzp7etpxx4q_9a1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внедрению механизма применения контрольно-кассовых машин с функцией передачи данных в режиме онлайн" от 15 июня 2016 года № 324" от 4 мая 2017 года № 252;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ka7ifawcrmuvwcqiy6ps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в </w:t>
      </w:r>
      <w:hyperlink w:history="1" r:id="rId6aqy73bswosjjfkub7nu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внедрению механизма применения контрольно-кассовых машин с функцией передачи данных в режиме онлайн" от 15 июня 2016 года № 324" от 16 июля 2018 года № 324;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</w:t>
      </w:r>
      <w:hyperlink w:history="1" r:id="rIdfgfghrws_itxgkxogsvh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внедрению электронной системы фискализации налоговых процедур" от 17 декабря 2019 года № 691.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отдел финансовой и кредитной политики и отдел цифровой трансформации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Приложение 2</w:t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субъектов, которые в силу специфики своей деятельности либо особенностей местонахождения могут осуществлять денежные расчеты без применения контрольно-кассовых машин</w:t>
      </w:r>
    </w:p>
    <w:p>
      <w:pPr>
        <w:spacing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qoj78di1uvn7gf0a56ja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октября 2020 года № 514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9inczxbx_jaos6zadsm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января 2021 года № 20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lgxv0apn-dsnvsga93g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марта 2021 года № 123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Перечень разработан в соответствии с частями 1 и 5 </w:t>
      </w:r>
      <w:hyperlink w:history="1" r:id="rIdgimlsn1vv-vdt8lbavw3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109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 и определяет перечень субъектов, которые в силу специфики своей деятельности либо особенностей местонахождения могут осуществлять денежные расчеты без применения контрольно-кассовых машин (далее - ККМ), а также условия и сроки освобождения от применения ККМ.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 территории Кыргызской Республики денежные расчеты с населением, осуществляемые при торговых операциях или выполнении работ и оказании услуг посредством наличных/электронных денег, банковских платежных карт и других платежных инструментов, могут производиться без применением ККМ, если иное не установлено настоящим Перечнем, при следующих видах деятельности: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реализация ценных бумаг;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реализация лотерейных билетов;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реализация проездных билетов и талонов для проезда в городском общественном транспорте;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реализация чайной и другой продукции общественного питания в пассажирских вагонах поездов и самолетах;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предоставление услуг индивидуального характера (гувернантки, няни, садовники, домработницы) и по выпасу скота;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услуги коммерческих банков, микрофинансовых организаций, кредитных союзов, специализированных финансово-кредитных организаций и платежных организаций, лицензируемых и регулируемых Национальным банком Кыргызской Республики, за исключением оказания ими обменных операций с наличной иностранной валютой;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услуги религиозных организаций, зарегистрированных в порядке, установленном законодательством Кыргызской Республики в сфере регулирования деятельности религиозных организаций, в части реализации предметов культа и религиозной литературы в культовых зданиях и уличных киосках, а также оказание услуг по проведению ритуальных, религиозных обрядов и церемоний.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Перечень субъектов, имеющих право осуществлять денежные расчеты без применения ККМ до определенного срока, и сроки освобождения от применения ККМ приведены в таблице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0"/>
          <w:szCs w:val="20"/>
        </w:rPr>
        <w:t xml:space="preserve">Таблица 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Сроки освобождения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 городах Бишкек и Ош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 других административно-территориальных единицах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реализация товаров, оказание услуг или выполнение работ в точках площадью до 10 (десять) кв. метров, расположенных в торговых центрах и домах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 1 января 2022 года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оказание услуг в точках общественного питания с использованием временных точек (павильонов, юрт, навесов, прочих временных сооружений)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 1 января 2022 года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реализация товаров в павильонах, контейнерах, других временных сооружениях площадью торгового зала до 20 (двадцать) кв. метров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 1 января 2022 года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оказание услуг по перевозке пассажиров в легковом транспорте (услуги такси)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 1 июля 2022 года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прием от населения стеклопосуды, утилизируемого сырья и металлолома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 1 июля 2022 года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реализация товаров, оказание услуг или выполнение работ на рынках, мини-рынках, ярмарках и выставках, за исключением расположенных на их территории: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 1 октября 2022 года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реализация в розницу продукции цветоводства и сельскохозяйственной продукции, товаров народного потребления, за исключением продуктов питания, в киосках и ларьках площадью до 7 (семь) кв. метров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 1 октября 2022 года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реализация газет и журналов, а также сопутствующих товаров в газетно-журнальных киосках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 1 января 2023 года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реализация в розницу из цистерн/бочек кваса, молока и прохладительных напитков, и торговля с автомобиля овощами, фруктами и другой сельскохозяйственной продукцией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 1 января 2023 года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разносная мелкорозничная торговля продовольственными и непродовольственными товарами, продажа с ручных тележек, корзин, лотков (в том числе защищенных от атмосферных осадков каркасами, обтянутых полиэтиленовой пленкой, парусиной, брезентом и т.п.)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 1 января 2024 года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предоставление (сдача) в наем собственного недвижимого имущества под жилье, за исключением услуг гостиниц и посуточной аренды квартир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 1 января 2024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7</w:t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График
 перехода и применения субъектами контрольно-кассовых машин в рамках внедрения электронной системы фискализации налоговых процедур</w:t>
      </w:r>
    </w:p>
    <w:p>
      <w:pPr>
        <w:spacing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4cii2uxh5fj7m8cy9wbk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октября 2020 года № 514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98vq-ikrym4sy9czx4r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января 2021 года № 20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nsakei6ipmdbgzul92x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марта 2021 года № 123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График разработан в соответствии с частью 5 </w:t>
      </w:r>
      <w:hyperlink w:history="1" r:id="rIdqsrr4es7__gksodp5esy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109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 и устанавливает сроки перехода и применения контрольно-кассовых машин (далее - ККМ), соответствующих техническим требованиям, утвержденным Правительством Кыргызской Республики в рамках внедрения электронной системы фискализации налоговых процедур.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Субъекты, зарегистрированные в автоматизированной информационной системе уполномоченного налогового органа (далее - АИС) и использующие ККМ, имеют право применять их до истечения сроков, указанных в таблице 1 настоящего Графика, если Правительством Кыргызской Республики не установлен иной срок.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Применение ККМ, указанных в пункте 2 настоящего Графика, допускается исключительно при условии их доработки (модернизации) в соответствии с подпунктом 2 пункта 2 </w:t>
      </w:r>
      <w:hyperlink w:history="1" r:id="rIdfnlwknh3nlliuma2du1_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внедрению электронной системы фискализации налоговых процедур" от 17 декабря 2019 года № 691 в срок не позднее 1 июля 2021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ККМ, не соответствующие Временным техническим требованиям к контрольно-кассовым машинам с функцией передачи данных в режиме онлайн и требованиям к центрам технического обслуживания контрольно-кассовых машин, утвержденным </w:t>
      </w:r>
      <w:hyperlink w:history="1" r:id="rIdg4fz2p9q5lzfsgtbfc5z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внедрению механизма применения контрольно-кассовых машин с функцией передачи данных в режиме онлайн" от 15 июня 2016 года № 324 (в редакции </w:t>
      </w:r>
      <w:hyperlink w:history="1" r:id="rIdjg3ojjt2sxo7vurh1npk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декабря 2019 года № 691), не допускаются к применению и подлежат снятию с регистрации в АИС с 1 июля 2021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Сроки перехода и применения ККМ, соответствующих техническим требованиям, утвержденным Правительством Кыргызской Республики в рамках внедрения электронной системы фискализации налоговых процедур, приведены в таблице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1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44"/>
        <w:gridCol w:w="7230"/>
        <w:gridCol w:w="2404"/>
      </w:tblGrid>
      <w:tr>
        <w:tc>
          <w:tcPr>
            <w:tcW w:type="dxa" w:w="54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72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Виды деятельности, осуществляемые субъектами</w:t>
            </w:r>
          </w:p>
        </w:tc>
        <w:tc>
          <w:tcPr>
            <w:tcW w:type="dxa" w:w="24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перехода и применения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Этап 1 (в городах Бишкек и Ош)</w:t>
            </w:r>
          </w:p>
        </w:tc>
      </w:tr>
      <w:tr>
        <w:tc>
          <w:tcPr>
            <w:tcW w:type="dxa" w:w="5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товаров в стационарных точках торговли с торговой площадью более 200 кв. метров</w:t>
            </w:r>
          </w:p>
        </w:tc>
        <w:tc>
          <w:tcPr>
            <w:tcW w:type="dxa" w:w="2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1 июля 2021 года</w:t>
            </w:r>
          </w:p>
        </w:tc>
      </w:tr>
      <w:tr>
        <w:tc>
          <w:tcPr>
            <w:tcW w:type="dxa" w:w="5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общественного питания с количеством посадочных мест более 200 и/или с площадью свыше 300 кв. метров</w:t>
            </w:r>
          </w:p>
        </w:tc>
        <w:tc>
          <w:tcPr>
            <w:tcW w:type="dxa" w:w="2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1 июля 2021 года</w:t>
            </w:r>
          </w:p>
        </w:tc>
      </w:tr>
      <w:tr>
        <w:tc>
          <w:tcPr>
            <w:tcW w:type="dxa" w:w="5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лекарственных средств в аптеках</w:t>
            </w:r>
          </w:p>
        </w:tc>
        <w:tc>
          <w:tcPr>
            <w:tcW w:type="dxa" w:w="2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1 июля 2021 года</w:t>
            </w:r>
          </w:p>
        </w:tc>
      </w:tr>
      <w:tr>
        <w:tc>
          <w:tcPr>
            <w:tcW w:type="dxa" w:w="5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Медицинские услуги в стационарных помещениях и услуги медицинских лабораторий</w:t>
            </w:r>
          </w:p>
        </w:tc>
        <w:tc>
          <w:tcPr>
            <w:tcW w:type="dxa" w:w="2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1 июля 2021 года</w:t>
            </w:r>
          </w:p>
        </w:tc>
      </w:tr>
      <w:tr>
        <w:tc>
          <w:tcPr>
            <w:tcW w:type="dxa" w:w="5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товаров в стационарных точках торговли с торговой площадью от 100 до 200 кв. метров</w:t>
            </w:r>
          </w:p>
        </w:tc>
        <w:tc>
          <w:tcPr>
            <w:tcW w:type="dxa" w:w="2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1 октября 2021 года</w:t>
            </w:r>
          </w:p>
        </w:tc>
      </w:tr>
      <w:tr>
        <w:tc>
          <w:tcPr>
            <w:tcW w:type="dxa" w:w="5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товаров и предоставление услуг в точках, расположенных в торговых центрах</w:t>
            </w:r>
          </w:p>
        </w:tc>
        <w:tc>
          <w:tcPr>
            <w:tcW w:type="dxa" w:w="2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1 октября 2021 года</w:t>
            </w:r>
          </w:p>
        </w:tc>
      </w:tr>
      <w:tr>
        <w:tc>
          <w:tcPr>
            <w:tcW w:type="dxa" w:w="5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общественного питания с количеством посадочных мест от 100 до 200 и/или с площадью свыше 200 кв. метров</w:t>
            </w:r>
          </w:p>
        </w:tc>
        <w:tc>
          <w:tcPr>
            <w:tcW w:type="dxa" w:w="2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1 октября 2021 года</w:t>
            </w:r>
          </w:p>
        </w:tc>
      </w:tr>
      <w:tr>
        <w:tc>
          <w:tcPr>
            <w:tcW w:type="dxa" w:w="5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товаров в стационарных точках торговли с торговой площадью до 100 кв. метров</w:t>
            </w:r>
          </w:p>
        </w:tc>
        <w:tc>
          <w:tcPr>
            <w:tcW w:type="dxa" w:w="2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1 января 2022 года</w:t>
            </w:r>
          </w:p>
        </w:tc>
      </w:tr>
      <w:tr>
        <w:tc>
          <w:tcPr>
            <w:tcW w:type="dxa" w:w="5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общественного питания с количеством посадочных мест до 100</w:t>
            </w:r>
          </w:p>
        </w:tc>
        <w:tc>
          <w:tcPr>
            <w:tcW w:type="dxa" w:w="2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1 января 2022 года</w:t>
            </w:r>
          </w:p>
        </w:tc>
      </w:tr>
      <w:tr>
        <w:tc>
          <w:tcPr>
            <w:tcW w:type="dxa" w:w="5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Деятельность, осуществляемая на основе обязательного патента</w:t>
            </w:r>
          </w:p>
        </w:tc>
        <w:tc>
          <w:tcPr>
            <w:tcW w:type="dxa" w:w="2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1 января 2022 года</w:t>
            </w:r>
          </w:p>
        </w:tc>
      </w:tr>
      <w:tr>
        <w:tc>
          <w:tcPr>
            <w:tcW w:type="dxa" w:w="5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виды экономической деятельности, за исключением реализации нефтепродуктов на станциях для заправки автотранспортных средств, не указанные выше</w:t>
            </w:r>
          </w:p>
        </w:tc>
        <w:tc>
          <w:tcPr>
            <w:tcW w:type="dxa" w:w="2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1 января 2022 года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Этап 2 (в других административно-территориальных единицах)</w:t>
            </w:r>
          </w:p>
        </w:tc>
      </w:tr>
      <w:tr>
        <w:tc>
          <w:tcPr>
            <w:tcW w:type="dxa" w:w="5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товаров в стационарных точках торговли с торговой площадью более 200 кв. метров</w:t>
            </w:r>
          </w:p>
        </w:tc>
        <w:tc>
          <w:tcPr>
            <w:tcW w:type="dxa" w:w="2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1 января 2022 года</w:t>
            </w:r>
          </w:p>
        </w:tc>
      </w:tr>
      <w:tr>
        <w:tc>
          <w:tcPr>
            <w:tcW w:type="dxa" w:w="5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общественного питания с количеством посадочных мест более 200 и/или с площадью свыше 300 кв. метров</w:t>
            </w:r>
          </w:p>
        </w:tc>
        <w:tc>
          <w:tcPr>
            <w:tcW w:type="dxa" w:w="2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1 января 2022 года</w:t>
            </w:r>
          </w:p>
        </w:tc>
      </w:tr>
      <w:tr>
        <w:tc>
          <w:tcPr>
            <w:tcW w:type="dxa" w:w="5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лекарственных средств в аптеках</w:t>
            </w:r>
          </w:p>
        </w:tc>
        <w:tc>
          <w:tcPr>
            <w:tcW w:type="dxa" w:w="2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1 апреля 2022 года</w:t>
            </w:r>
          </w:p>
        </w:tc>
      </w:tr>
      <w:tr>
        <w:tc>
          <w:tcPr>
            <w:tcW w:type="dxa" w:w="5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Медицинские услуги в стационарных помещениях и услуги медицинских лабораторий</w:t>
            </w:r>
          </w:p>
        </w:tc>
        <w:tc>
          <w:tcPr>
            <w:tcW w:type="dxa" w:w="2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1 апреля 2022 года</w:t>
            </w:r>
          </w:p>
        </w:tc>
      </w:tr>
      <w:tr>
        <w:tc>
          <w:tcPr>
            <w:tcW w:type="dxa" w:w="5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товаров в стационарных точках торговли с торговой площадью от 100 до 200 кв. метров</w:t>
            </w:r>
          </w:p>
        </w:tc>
        <w:tc>
          <w:tcPr>
            <w:tcW w:type="dxa" w:w="2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1 июля 2022 года</w:t>
            </w:r>
          </w:p>
        </w:tc>
      </w:tr>
      <w:tr>
        <w:tc>
          <w:tcPr>
            <w:tcW w:type="dxa" w:w="5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товаров и предоставление услуг в точках, расположенных в торговых центрах</w:t>
            </w:r>
          </w:p>
        </w:tc>
        <w:tc>
          <w:tcPr>
            <w:tcW w:type="dxa" w:w="2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1 июля 2022 года</w:t>
            </w:r>
          </w:p>
        </w:tc>
      </w:tr>
      <w:tr>
        <w:tc>
          <w:tcPr>
            <w:tcW w:type="dxa" w:w="5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общественного питания с количеством посадочных мест от 100 до 200 и/или с площадью свыше 200 кв. метров</w:t>
            </w:r>
          </w:p>
        </w:tc>
        <w:tc>
          <w:tcPr>
            <w:tcW w:type="dxa" w:w="2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1 июля 2022 года</w:t>
            </w:r>
          </w:p>
        </w:tc>
      </w:tr>
      <w:tr>
        <w:tc>
          <w:tcPr>
            <w:tcW w:type="dxa" w:w="5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товаров в стационарных точках торговли с торговой площадью до 100 кв. метров</w:t>
            </w:r>
          </w:p>
        </w:tc>
        <w:tc>
          <w:tcPr>
            <w:tcW w:type="dxa" w:w="2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1 октября 2022 года</w:t>
            </w:r>
          </w:p>
        </w:tc>
      </w:tr>
      <w:tr>
        <w:tc>
          <w:tcPr>
            <w:tcW w:type="dxa" w:w="5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общественного питания с количеством посадочных мест до 100</w:t>
            </w:r>
          </w:p>
        </w:tc>
        <w:tc>
          <w:tcPr>
            <w:tcW w:type="dxa" w:w="2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1 октября 2022 года</w:t>
            </w:r>
          </w:p>
        </w:tc>
      </w:tr>
      <w:tr>
        <w:tc>
          <w:tcPr>
            <w:tcW w:type="dxa" w:w="5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Деятельность, осуществляемая на основе обязательного патента</w:t>
            </w:r>
          </w:p>
        </w:tc>
        <w:tc>
          <w:tcPr>
            <w:tcW w:type="dxa" w:w="2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1 января 2023 года</w:t>
            </w:r>
          </w:p>
        </w:tc>
      </w:tr>
      <w:tr>
        <w:tc>
          <w:tcPr>
            <w:tcW w:type="dxa" w:w="5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виды экономической деятельности, за исключением реализации нефтепродуктов на станциях для заправки автотранспортных средств, не указанные выше</w:t>
            </w:r>
          </w:p>
        </w:tc>
        <w:tc>
          <w:tcPr>
            <w:tcW w:type="dxa" w:w="2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1 января 2023 года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nnnxbuokadv31uwozpt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dalil.kg/document/157676</w:t>
      </w:r>
    </w:hyperlink>
  </w:p>
  <w:p>
    <w:pPr>
      <w:spacing w:after="0" w:before="40"/>
      <w:jc w:val="center"/>
    </w:pPr>
    <w:hyperlink w:history="1" r:id="rId141gjnzhlieks_urkld9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vj5g0nlppls1hdek3kqd" Type="http://schemas.openxmlformats.org/officeDocument/2006/relationships/hyperlink" Target="https://dalil.kg/document/159080" TargetMode="External"/><Relationship Id="rIddegu78xdjjswmttibtrso" Type="http://schemas.openxmlformats.org/officeDocument/2006/relationships/hyperlink" Target="https://dalil.kg/document/157759" TargetMode="External"/><Relationship Id="rIdo82le8viifdjcucylu0we" Type="http://schemas.openxmlformats.org/officeDocument/2006/relationships/hyperlink" Target="https://dalil.kg/document/158021" TargetMode="External"/><Relationship Id="rId1hy-6b7xmfmfpvll3uvi-" Type="http://schemas.openxmlformats.org/officeDocument/2006/relationships/hyperlink" Target="https://dalil.kg/document/158141" TargetMode="External"/><Relationship Id="rIdaak4d4cytqb5v1lo0rn6f" Type="http://schemas.openxmlformats.org/officeDocument/2006/relationships/hyperlink" Target="https://dalil.kg/document/202445#st_4" TargetMode="External"/><Relationship Id="rIdpyx-w6ko2wxo0g6jnxmnd" Type="http://schemas.openxmlformats.org/officeDocument/2006/relationships/hyperlink" Target="https://dalil.kg/document/202445#st_109" TargetMode="External"/><Relationship Id="rIdlhgfahuhnkgc5xan_hhc6" Type="http://schemas.openxmlformats.org/officeDocument/2006/relationships/hyperlink" Target="https://dalil.kg/document/157677" TargetMode="External"/><Relationship Id="rId-izkk2wfdwaxzyfq2yt82" Type="http://schemas.openxmlformats.org/officeDocument/2006/relationships/hyperlink" Target="https://dalil.kg/document/157676#pr2" TargetMode="External"/><Relationship Id="rId6qazzui05dolsk0fmlkuz" Type="http://schemas.openxmlformats.org/officeDocument/2006/relationships/hyperlink" Target="https://dalil.kg/document/157678" TargetMode="External"/><Relationship Id="rId5wc0lmgr_jfssaouk5utp" Type="http://schemas.openxmlformats.org/officeDocument/2006/relationships/hyperlink" Target="https://dalil.kg/document/157679" TargetMode="External"/><Relationship Id="rIdqfsiewjfzlh0bibm4lokf" Type="http://schemas.openxmlformats.org/officeDocument/2006/relationships/hyperlink" Target="https://dalil.kg/document/157680" TargetMode="External"/><Relationship Id="rIdw40iinpt1m0orvwalxvlq" Type="http://schemas.openxmlformats.org/officeDocument/2006/relationships/hyperlink" Target="https://dalil.kg/document/157681" TargetMode="External"/><Relationship Id="rIdvpmy5jzkpnc81gmngqtub" Type="http://schemas.openxmlformats.org/officeDocument/2006/relationships/hyperlink" Target="https://dalil.kg/document/157676#pr7" TargetMode="External"/><Relationship Id="rId0qod3i1m61y1utejfqxdk" Type="http://schemas.openxmlformats.org/officeDocument/2006/relationships/hyperlink" Target="https://dalil.kg/document/157391" TargetMode="External"/><Relationship Id="rId_shko8z7qt0wd6dbvcgkn" Type="http://schemas.openxmlformats.org/officeDocument/2006/relationships/hyperlink" Target="https://dalil.kg/document/157759" TargetMode="External"/><Relationship Id="rIdpse_aawmpwd6b9hl3vww_" Type="http://schemas.openxmlformats.org/officeDocument/2006/relationships/hyperlink" Target="https://dalil.kg/document/158021" TargetMode="External"/><Relationship Id="rIdzxvx8jkzmnznhq0ybiuoa" Type="http://schemas.openxmlformats.org/officeDocument/2006/relationships/hyperlink" Target="https://dalil.kg/document/158141" TargetMode="External"/><Relationship Id="rIdg9nz4jddbivlyn2_arvdv" Type="http://schemas.openxmlformats.org/officeDocument/2006/relationships/hyperlink" Target="https://dalil.kg/document/90464" TargetMode="External"/><Relationship Id="rIdj9bwratwwnl-jjcbrpoqw" Type="http://schemas.openxmlformats.org/officeDocument/2006/relationships/hyperlink" Target="https://dalil.kg/document/96386" TargetMode="External"/><Relationship Id="rIdyforlh527lwu20patrous" Type="http://schemas.openxmlformats.org/officeDocument/2006/relationships/hyperlink" Target="https://dalil.kg/document/90464" TargetMode="External"/><Relationship Id="rIdaugnjbpkbjehb5buycazh" Type="http://schemas.openxmlformats.org/officeDocument/2006/relationships/hyperlink" Target="https://dalil.kg/document/98214" TargetMode="External"/><Relationship Id="rIdaeycwxmbfxpqbw2ibbayh" Type="http://schemas.openxmlformats.org/officeDocument/2006/relationships/hyperlink" Target="https://dalil.kg/document/90464" TargetMode="External"/><Relationship Id="rIdcx3xfuktzqmcswaln3-wj" Type="http://schemas.openxmlformats.org/officeDocument/2006/relationships/hyperlink" Target="https://dalil.kg/document/92425" TargetMode="External"/><Relationship Id="rIdijlrqzd-9bk9gva_bcvzp" Type="http://schemas.openxmlformats.org/officeDocument/2006/relationships/hyperlink" Target="https://dalil.kg/document/94319" TargetMode="External"/><Relationship Id="rId2z4slzsycvfmvb6p9vyli" Type="http://schemas.openxmlformats.org/officeDocument/2006/relationships/hyperlink" Target="https://dalil.kg/document/98586" TargetMode="External"/><Relationship Id="rIdgwsvlwidp1kz0ai9hijai" Type="http://schemas.openxmlformats.org/officeDocument/2006/relationships/hyperlink" Target="https://dalil.kg/document/90464" TargetMode="External"/><Relationship Id="rIdhw5q3lxaykchdv0chk3g2" Type="http://schemas.openxmlformats.org/officeDocument/2006/relationships/hyperlink" Target="https://dalil.kg/document/98554" TargetMode="External"/><Relationship Id="rIdoatlhkh7gcjyoki6ud6kl" Type="http://schemas.openxmlformats.org/officeDocument/2006/relationships/hyperlink" Target="https://dalil.kg/document/98699" TargetMode="External"/><Relationship Id="rIdqmpbvoa-r1gvepo59db7r" Type="http://schemas.openxmlformats.org/officeDocument/2006/relationships/hyperlink" Target="https://dalil.kg/document/98554" TargetMode="External"/><Relationship Id="rIdebe5sq9her2kqnydtscms" Type="http://schemas.openxmlformats.org/officeDocument/2006/relationships/hyperlink" Target="https://dalil.kg/document/99968" TargetMode="External"/><Relationship Id="rId20xixfzp7etpxx4q_9a1k" Type="http://schemas.openxmlformats.org/officeDocument/2006/relationships/hyperlink" Target="https://dalil.kg/document/98554" TargetMode="External"/><Relationship Id="rIdka7ifawcrmuvwcqiy6ps8" Type="http://schemas.openxmlformats.org/officeDocument/2006/relationships/hyperlink" Target="https://dalil.kg/document/12208" TargetMode="External"/><Relationship Id="rId6aqy73bswosjjfkub7nue" Type="http://schemas.openxmlformats.org/officeDocument/2006/relationships/hyperlink" Target="https://dalil.kg/document/98554" TargetMode="External"/><Relationship Id="rIdfgfghrws_itxgkxogsvhc" Type="http://schemas.openxmlformats.org/officeDocument/2006/relationships/hyperlink" Target="https://dalil.kg/document/157391" TargetMode="External"/><Relationship Id="rIdqoj78di1uvn7gf0a56jar" Type="http://schemas.openxmlformats.org/officeDocument/2006/relationships/hyperlink" Target="https://dalil.kg/document/157759" TargetMode="External"/><Relationship Id="rIdu9inczxbx_jaos6zadsm0" Type="http://schemas.openxmlformats.org/officeDocument/2006/relationships/hyperlink" Target="https://dalil.kg/document/158021" TargetMode="External"/><Relationship Id="rIdnlgxv0apn-dsnvsga93gq" Type="http://schemas.openxmlformats.org/officeDocument/2006/relationships/hyperlink" Target="https://dalil.kg/document/158141" TargetMode="External"/><Relationship Id="rIdgimlsn1vv-vdt8lbavw3t" Type="http://schemas.openxmlformats.org/officeDocument/2006/relationships/hyperlink" Target="https://dalil.kg/document/202445#st_109" TargetMode="External"/><Relationship Id="rId4cii2uxh5fj7m8cy9wbkq" Type="http://schemas.openxmlformats.org/officeDocument/2006/relationships/hyperlink" Target="https://dalil.kg/document/157759" TargetMode="External"/><Relationship Id="rIde98vq-ikrym4sy9czx4rh" Type="http://schemas.openxmlformats.org/officeDocument/2006/relationships/hyperlink" Target="https://dalil.kg/document/158021" TargetMode="External"/><Relationship Id="rIdvnsakei6ipmdbgzul92x3" Type="http://schemas.openxmlformats.org/officeDocument/2006/relationships/hyperlink" Target="https://dalil.kg/document/158141" TargetMode="External"/><Relationship Id="rIdqsrr4es7__gksodp5esy3" Type="http://schemas.openxmlformats.org/officeDocument/2006/relationships/hyperlink" Target="https://dalil.kg/document/202445#st_109" TargetMode="External"/><Relationship Id="rIdfnlwknh3nlliuma2du1_k" Type="http://schemas.openxmlformats.org/officeDocument/2006/relationships/hyperlink" Target="https://dalil.kg/document/157391" TargetMode="External"/><Relationship Id="rIdg4fz2p9q5lzfsgtbfc5z-" Type="http://schemas.openxmlformats.org/officeDocument/2006/relationships/hyperlink" Target="https://dalil.kg/document/98554" TargetMode="External"/><Relationship Id="rIdjg3ojjt2sxo7vurh1npkx" Type="http://schemas.openxmlformats.org/officeDocument/2006/relationships/hyperlink" Target="https://dalil.kg/document/157391" TargetMode="External"/><Relationship Id="rId8" Type="http://schemas.openxmlformats.org/officeDocument/2006/relationships/image" Target="media/8de64316e95979c063c17bcd5380dc052a2594e9.png"/><Relationship Id="rId5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nnnxbuokadv31uwozptr" Type="http://schemas.openxmlformats.org/officeDocument/2006/relationships/hyperlink" Target="https://dalil.kg/document/157676" TargetMode="External"/><Relationship Id="rId141gjnzhlieks_urkld9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2026-09-25T06:14:49.609Z</dcterms:created>
  <dcterms:modified xsi:type="dcterms:W3CDTF">2026-09-25T06:14:49.609Z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