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aengjz9_p8ytnvwrgw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выдачи технического заключения к контрольно-кассовым машинам и формирования реестра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частями 5 и 6 </w:t>
      </w:r>
      <w:hyperlink w:history="1" r:id="rIdqffp5i63whq7_3l-xx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включения и исключения контрольно-кассовых машин (далее - ККМ) из реестра контрольно-кассовых машин (далее - реестр ККМ), а также порядок выдачи технического заключения о соответствии/несоответствии ККМ техническим требованиям, утвержденным Правительством Кыргызской Республики (далее - техническое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 обращению которого уполномоченным государственным органом в области связи и информатизации рассматривается вопрос о выдаче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экспертизе ККМ</w:t>
      </w:r>
      <w:r>
        <w:rPr>
          <w:rFonts w:ascii="Arial" w:cs="Arial" w:eastAsia="Arial" w:hAnsi="Arial"/>
          <w:sz w:val="24"/>
          <w:szCs w:val="24"/>
        </w:rPr>
        <w:t xml:space="preserve"> - отечественная организация, самостоятельно выполняющая функции по организации и проведению экспертизы модели ККМ, устройства передачи фискальных данных и фискальной памяти на соответствие техническим требованиям к ККМ,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органом по экспертизе ККМ являются отечественные организации, прошедшие аккредитацию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ККМ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в автоматизированной информационной системе уполномоченного налогового органа по каждой модели ККМ, получившие в установленном порядке подтверждение на соответствие техническим требованиям к ККМ,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сертификаты соответствия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программных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паспорт, описание технических характеристик, ремонтную документацию, методику освидетельствования и цветную фотографию аппаратных ККМ и/или устройства передачи фискальных данных, или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формируемых чеков и отчетов, распечатываемые ККМ в фискальном и нефискальном режимах;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к ККМ</w:t>
      </w:r>
      <w:r>
        <w:rPr>
          <w:rFonts w:ascii="Arial" w:cs="Arial" w:eastAsia="Arial" w:hAnsi="Arial"/>
          <w:sz w:val="24"/>
          <w:szCs w:val="24"/>
        </w:rPr>
        <w:t xml:space="preserve"> - заключение о соответствии модели ККМ, устройства передачи фискальных данных и фискальной памяти техническим требованиям к ККМ, утвержденным Правительством Кыргызской Республики, выдаваемое органом по экспертизе ККМ, которое в обязательном порядке должно содержать информацию о соответствии ККМ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от несанкционированных модификации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защищенному хранению и передаче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применению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руководства для разработчика, системного администратора и пользователя, содержащие подробную инструкцию использования ККМ, в том числе по фискализации, проведению расчетных операций и снятию фискальных и кассовых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ККМ, утвержденным Правительством Кыргызской Республики, в уполномоченном государственном органе в области связи и информатизации, а также процедуру включения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реестр/а ККМ на основании технического заключения, выдаваемого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осуществляет ведение реестра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программных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работающих в постоянной интеграции с уполномоченным налоговым органом и/или оператором фискальных данных (далее - ОФД);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аппаратно-программное или программное решение, обеспечивающее в период отсутствия связи с уполномоченным налоговым органом и/или ОФД защищенное хранение в зашифрованном и неизменном виде данных по кассовым операциям, подлежащих автоматической передаче после восстановления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аппаратных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встроенным устройством (модем) передачи данных и фискальной памятью (далее - ФП);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конструкции которых отсутствует устройство (модем) передачи данных или ФП, с указанием моделей устройств передачи фискальных данных (далее - УПФД) или ФП, выполненных в неразборном корпусе, при наличии которых разрешено применение данных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ККМ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идентификационный налоговый номер разработчика ККМ, с указанием организационно-правовой формы, а также их контактных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ККМ, в том числе модели ККМ, где в конструкции отсутствует устройство (модем) передачи данных или ФП, с указанием моделей УПФД или ФП, выполненных в неразборном корпусе, при наличии которых разрешено применение данных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разработки ККМ и/или УПФД/ФП;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 по экспертизе ККМ, выдавшего экспертное заключение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функциональная возможность работы ККМ в период отсутствия связи с уполномоченным налоговым органом и/или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рассмотрения обращений заявителей, уполномоченный государственный орган в области связи и информатизации инициирует создание межведомственной комиссии в составе представителей уполномоченного государственного органа в области связи и информатизации, уполномоченного налогового органа и уполномоченного государственного органа в области национальной безопасности, в том числе в области обеспечения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и регламент работы межведомственной комиссии согласовывается и утверждается совместным приказом, инициированным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вправе привлекать независимых экспертов и специалистов органа по экспертизе ККМ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налоговый орган имеет право обращаться в уполномоченный государственный орган в области связи и информатизации о проведении процедуры пересмотра соответствия техническим требованиям моделей ККМ и/или УПФД/ФП, включенных в реестр ККМ моделей ККМ, с указанием причин и доводов.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прохождения процедуры соответствия техническим требованиям моделей ККМ, заявители должны обратиться в уполномоченный государственный орган в области связи и информатизации и вместе с заявлением в произвольной форме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договора с разработчиком ККМ или их официальным представителем о поставках, технической и гарантийной поддержке ККМ и/или УПФД/ФП, где оговариваются модели и условия гарантийного и послегарантийного ремонта. В случае, если заявителем является разработчик ККМ, предоставляются документы, подтверждающие авторское право на ККМ-разработчика,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эксплуатационную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экспертное заключение к ККМ. Экспертное заключение предоставляется заявителем в случаях,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инструменты и методы проверки для выявления фактов модификации, редактирования или удаления фискальных данных, утвержденные разработчиком ККМ и/или УПФД/ФП.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области связи и информатизации, после получения полного пакета документов и одного экземпляра модели ККМ от заявителя, в течение 5 (пять) рабочих дней со дня поступления заявления рассматривает его на полноту сведений, и, в случае представления полного пакета документов инициирует собрание межведомственной комиссии для рассмотрения представленных документов и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комиссия в течение 5 (пять) рабочих дней проводит процедуру рассмотрения модели ККМ на соответствие техническим требованиям к ККМ, и по результатам выносит решение о соответствии/несоответствии модели ККМ техническим требованиям к ККМ,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заявителем экспертного заключения к ККМ, межведомственная комиссия рассматривает на соответствие техническим требованиям к ККМ, за исключением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защищенного хранения и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у заявителя экспертного заключения к ККМ, межведомственная комиссия должна рассмотреть ККМ на полное соответствие техническим требованиям, утвержденным Правительством Кыргызской Республики. В ходе рассмотрения межведомственная комиссия имеет право привлекать независимых экспертов в области программных продуктов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вынесения межведомственной комиссией решения о соответствии или несоответствии модели ККМ техническим требованиям к ККМ, уполномоченный государственный орган в области связи и информатизации в течение 3 (три) рабочих дней выдает заявителю соответствующее техническое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области связи и информатизации: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выдачи технического заключения о соответствии модели ККМ техническим требованиям к ККМ, направляет его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опубликовывает реестр выданных технических заключений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налоговый орган в течение 3 (три) рабочих дней со дня получения технического заключения о соответствии модели ККМ техническим требованиям, включает указанную модель ККМ в реестр ККМ, который опубликовывается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Модели ККМ исключаются из реестра ККМ уполномоченным налоговым органом на основании технического заключения о несоответствии модели ККМ техническим требованиям, выданного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у экземпляров модели ККМ несоответствия техническим требованиям после включения ее в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реестра ККМ на основании технического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дней, и исключению из реестра ККМ со дня получения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изменения технических требований к ККМ, экземпляры моделей ККМ, ранее включенных в реестр ККМ и не соответствующих вновь принятым техническим требованиям к ККМ, могут применяться субъектами и не подлежат исключению из реестра ККМ в течение 90 (девяносто) календарных дней со дня вступления в силу вновь принятого технического требования к ККМ, если Правительством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или иного срока, установленного Правительством Кыргызской Республики, подлежат снятию с регистрации и исключению из реестра ККМ уполномоченным налоговым органом в течение 30 (тридцать) календарных дней, с предварительным уведомлением центров технического обслуживания, ОФД и субъектов за 10 (десять) рабочих дней.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nrhjydp5ifdliwuew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dalil.kg/document/157679</w:t>
      </w:r>
    </w:hyperlink>
  </w:p>
  <w:p>
    <w:pPr>
      <w:spacing w:after="0" w:before="40"/>
      <w:jc w:val="center"/>
    </w:pPr>
    <w:hyperlink w:history="1" r:id="rIdaadetttcyhlyhnopg21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engjz9_p8ytnvwrgwvz" Type="http://schemas.openxmlformats.org/officeDocument/2006/relationships/hyperlink" Target="https://dalil.kg/document/157676" TargetMode="External"/><Relationship Id="rIdqffp5i63whq7_3l-xxpzo" Type="http://schemas.openxmlformats.org/officeDocument/2006/relationships/hyperlink" Target="https://dalil.kg/document/202445#st_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nrhjydp5ifdliwuewga" Type="http://schemas.openxmlformats.org/officeDocument/2006/relationships/hyperlink" Target="https://dalil.kg/document/157679" TargetMode="External"/><Relationship Id="rIdaadetttcyhlyhnopg21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2026-09-24T01:14:27.409Z</dcterms:created>
  <dcterms:modified xsi:type="dcterms:W3CDTF">2026-09-24T01:14:27.409Z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