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18 августа 2020 года № 425</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деятельности политических партий"</w:t>
      </w:r>
    </w:p>
    <w:p>
      <w:pPr>
        <w:spacing w:after="120"/>
        <w:jc w:val="both"/>
      </w:pPr>
      <w:r>
        <w:rPr>
          <w:rFonts w:ascii="Arial" w:cs="Arial" w:eastAsia="Arial" w:hAnsi="Arial"/>
          <w:sz w:val="24"/>
          <w:szCs w:val="24"/>
        </w:rPr>
        <w:t xml:space="preserve">В соответствии со </w:t>
      </w:r>
      <w:hyperlink w:history="1" r:id="rId06jikwbi2harmvc6jrvy5">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svsuey8dthmvh2ajdf8m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деятельности политических партий", инициированный депутатом Жогорку Кенеша Кыргызской Республики Алтыбаевой А.Т.</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p>
    <w:p>
      <w:pPr>
        <w:spacing w:after="400" w:before="400"/>
        <w:jc w:val="center"/>
      </w:pPr>
      <w:r>
        <w:rPr>
          <w:rFonts w:ascii="Arial" w:cs="Arial" w:eastAsia="Arial" w:hAnsi="Arial"/>
          <w:b/>
          <w:bCs/>
          <w:sz w:val="32"/>
          <w:szCs w:val="32"/>
        </w:rPr>
        <w:t xml:space="preserve">ЗАКЛЮЧЕНИЕ</w:t>
      </w:r>
    </w:p>
    <w:p>
      <w:pPr>
        <w:spacing w:after="400" w:before="400"/>
        <w:jc w:val="center"/>
      </w:pPr>
      <w:r>
        <w:rPr>
          <w:rFonts w:ascii="Arial" w:cs="Arial" w:eastAsia="Arial" w:hAnsi="Arial"/>
          <w:b/>
          <w:bCs/>
          <w:sz w:val="32"/>
          <w:szCs w:val="32"/>
        </w:rPr>
        <w:t xml:space="preserve">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деятельности политических партий"</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cvdqobzf4u3i_ylbd4tep">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по вопросам деятельности политических партий", инициированный депутатом Жогорку Кенеша Кыргызской Республики Алтыбаевой А.Т., отмечает следующее.</w:t>
      </w:r>
    </w:p>
    <w:p>
      <w:pPr>
        <w:spacing w:after="60"/>
        <w:ind w:firstLine="567"/>
        <w:jc w:val="both"/>
      </w:pPr>
      <w:r>
        <w:rPr>
          <w:rFonts w:ascii="Arial" w:cs="Arial" w:eastAsia="Arial" w:hAnsi="Arial"/>
          <w:sz w:val="24"/>
          <w:szCs w:val="24"/>
        </w:rPr>
        <w:t xml:space="preserve">1. Статьей 1 представленного законопроекта предлагается внести изменение в </w:t>
      </w:r>
      <w:hyperlink w:history="1" r:id="rIdgziwolgfmapx2jvckz8_b">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Бюджетного кодекса Кыргызской Республики и дополнить частью 3, согласно которой "из республиканского бюджета ежегодно выделяются денежные средства политическим партиям при наступлении условий, предусмотренных законом Кыргызской Республики, регулирующим деятельность политических партий. Общий объем средств республиканского бюджета, выделяемого политическим партиям, ежегодно утверждается законом о республиканском бюджете и составляет не менее 0,01 процента от объема расходов республиканского бюджета".</w:t>
      </w:r>
    </w:p>
    <w:p>
      <w:pPr>
        <w:spacing w:after="60"/>
        <w:ind w:firstLine="567"/>
        <w:jc w:val="both"/>
      </w:pPr>
      <w:r>
        <w:rPr>
          <w:rFonts w:ascii="Arial" w:cs="Arial" w:eastAsia="Arial" w:hAnsi="Arial"/>
          <w:sz w:val="24"/>
          <w:szCs w:val="24"/>
        </w:rPr>
        <w:t xml:space="preserve">Согласно части 3 </w:t>
      </w:r>
      <w:r>
        <w:rPr>
          <w:rFonts w:ascii="Arial" w:cs="Arial" w:eastAsia="Arial" w:hAnsi="Arial"/>
          <w:sz w:val="24"/>
          <w:szCs w:val="24"/>
        </w:rPr>
        <w:t xml:space="preserve">статьи 80</w:t>
      </w:r>
      <w:r>
        <w:rPr>
          <w:rFonts w:ascii="Arial" w:cs="Arial" w:eastAsia="Arial" w:hAnsi="Arial"/>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В соответствии с </w:t>
      </w:r>
      <w:hyperlink w:history="1" r:id="rId91_e-kbdg4yqrq7tkkai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политических партиях" под политической партией подразумевается добровольное объединение граждан Кыргызской Республики, которые имеют общие политические цели и задачи, способствующие осуществлению политической воли определенной части населения, и принимают участие через своих представителей в управлении делами государства.</w:t>
      </w:r>
    </w:p>
    <w:p>
      <w:pPr>
        <w:spacing w:after="60"/>
        <w:ind w:firstLine="567"/>
        <w:jc w:val="both"/>
      </w:pPr>
      <w:r>
        <w:rPr>
          <w:rFonts w:ascii="Arial" w:cs="Arial" w:eastAsia="Arial" w:hAnsi="Arial"/>
          <w:sz w:val="24"/>
          <w:szCs w:val="24"/>
        </w:rPr>
        <w:t xml:space="preserve">Необходимо отметить, что в </w:t>
      </w:r>
      <w:hyperlink w:history="1" r:id="rId9_kismvuf3eh4fxupzd9c">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политических партиях" не предусмотрена норма, регулирующая вопрос финансирования деятельности политических партий за счет средств государственного бюджета.</w:t>
      </w:r>
    </w:p>
    <w:p>
      <w:pPr>
        <w:spacing w:after="60"/>
        <w:ind w:firstLine="567"/>
        <w:jc w:val="both"/>
      </w:pPr>
      <w:r>
        <w:rPr>
          <w:rFonts w:ascii="Arial" w:cs="Arial" w:eastAsia="Arial" w:hAnsi="Arial"/>
          <w:sz w:val="24"/>
          <w:szCs w:val="24"/>
        </w:rPr>
        <w:t xml:space="preserve">Согласно </w:t>
      </w:r>
      <w:hyperlink w:history="1" r:id="rIdpiyaejvm5-rob4luq-i93">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Закона Кыргызской Республики "О политических партиях" деятельность политических партий финансируется за счет средств этих партий без выделения ассигнований из государственного бюджета, за исключением финансирования избирательных компаний в соответствии с законом о выборах депутатов.</w:t>
      </w:r>
    </w:p>
    <w:p>
      <w:pPr>
        <w:spacing w:after="60"/>
        <w:ind w:firstLine="567"/>
        <w:jc w:val="both"/>
      </w:pPr>
      <w:r>
        <w:rPr>
          <w:rFonts w:ascii="Arial" w:cs="Arial" w:eastAsia="Arial" w:hAnsi="Arial"/>
          <w:sz w:val="24"/>
          <w:szCs w:val="24"/>
        </w:rPr>
        <w:t xml:space="preserve">Согласно </w:t>
      </w:r>
      <w:hyperlink w:history="1" r:id="rIdjmvh2o1ufvgfgomjvefne">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Бюджетного кодекса Кыргызской Республики республиканский бюджет - это совокупность денежных средств, предназначенных для финансового обеспечения задач и функций государственных органов, подведомственных им бюджетных учреждений.</w:t>
      </w:r>
    </w:p>
    <w:p>
      <w:pPr>
        <w:spacing w:after="60"/>
        <w:ind w:firstLine="567"/>
        <w:jc w:val="both"/>
      </w:pPr>
      <w:r>
        <w:rPr>
          <w:rFonts w:ascii="Arial" w:cs="Arial" w:eastAsia="Arial" w:hAnsi="Arial"/>
          <w:sz w:val="24"/>
          <w:szCs w:val="24"/>
        </w:rPr>
        <w:t xml:space="preserve">В этой связи, предлагаемые изменения, предусмотренные статьей 1 проекта, нецелесообразны, поскольку принятие настоящего законопроекта окажет нагрузку на республиканский бюджет и потребует дополнительного выделения политическим партиям финансовых средств из бюджета на ежегодной основе.</w:t>
      </w:r>
    </w:p>
    <w:p>
      <w:pPr>
        <w:spacing w:after="60"/>
        <w:ind w:firstLine="567"/>
        <w:jc w:val="both"/>
      </w:pPr>
      <w:r>
        <w:rPr>
          <w:rFonts w:ascii="Arial" w:cs="Arial" w:eastAsia="Arial" w:hAnsi="Arial"/>
          <w:sz w:val="24"/>
          <w:szCs w:val="24"/>
        </w:rPr>
        <w:t xml:space="preserve">Кроме того, согласно </w:t>
      </w:r>
      <w:hyperlink w:history="1" r:id="rId4wlkmqt-ab5nt5q_dmuol">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при этом финансово-экономические расчеты, исходя из которых определяется объем финансирования и возможности республиканского бюджета, отсутствуют.</w:t>
      </w:r>
    </w:p>
    <w:p>
      <w:pPr>
        <w:spacing w:after="60"/>
        <w:ind w:firstLine="567"/>
        <w:jc w:val="both"/>
      </w:pPr>
      <w:r>
        <w:rPr>
          <w:rFonts w:ascii="Arial" w:cs="Arial" w:eastAsia="Arial" w:hAnsi="Arial"/>
          <w:sz w:val="24"/>
          <w:szCs w:val="24"/>
        </w:rPr>
        <w:t xml:space="preserve">2. Статьей 2 представленного законопроекта предлагается дополнить </w:t>
      </w:r>
      <w:hyperlink w:history="1" r:id="rId-cchcequbrfxldbqr4fb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нормой, согласно которой "непредставление избирательной комиссии политической партией ежегодного сводного финансового отчета о поступлении и расходовании средств в установленные сроки влечет предупреждение либо наложение штрафа 1 категории".</w:t>
      </w:r>
    </w:p>
    <w:p>
      <w:pPr>
        <w:spacing w:after="60"/>
        <w:ind w:firstLine="567"/>
        <w:jc w:val="both"/>
      </w:pPr>
      <w:hyperlink w:history="1" r:id="rIdgu5lpebzebgcjcai5y8ue">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Кыргызской Республики "О политических партиях" предусмотрено, что контроль за источниками доходов политической партии, размерами полученных ею средств и уплатой налогов осуществляют территориальные органы государственной налоговой службы Кыргызской Республики.</w:t>
      </w:r>
    </w:p>
    <w:p>
      <w:pPr>
        <w:spacing w:after="60"/>
        <w:ind w:firstLine="567"/>
        <w:jc w:val="both"/>
      </w:pPr>
      <w:r>
        <w:rPr>
          <w:rFonts w:ascii="Arial" w:cs="Arial" w:eastAsia="Arial" w:hAnsi="Arial"/>
          <w:sz w:val="24"/>
          <w:szCs w:val="24"/>
        </w:rPr>
        <w:t xml:space="preserve">Как следует из справки-обоснования, настоящий законопроект разработан для применения законодательства о политических партиях, однако в силу требований действующего избирательного законодательства Кыргызской Республики предлагаемая формулировка не содержит сведений относительно источников поступления средств, а также наделяет уполномоченный государственный орган дискреционными полномочиями при применении санкции правовой нормы.</w:t>
      </w:r>
    </w:p>
    <w:p>
      <w:pPr>
        <w:spacing w:after="60"/>
        <w:ind w:firstLine="567"/>
        <w:jc w:val="both"/>
      </w:pPr>
      <w:r>
        <w:rPr>
          <w:rFonts w:ascii="Arial" w:cs="Arial" w:eastAsia="Arial" w:hAnsi="Arial"/>
          <w:sz w:val="24"/>
          <w:szCs w:val="24"/>
        </w:rPr>
        <w:t xml:space="preserve">Согласно части 3 </w:t>
      </w:r>
      <w:hyperlink w:history="1" r:id="rId6obyg666debtfhylvxftz">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термины и понятия, используемые в тексте нормативного правового акта, должны быть понятными и однозначными.</w:t>
      </w:r>
    </w:p>
    <w:p>
      <w:pPr>
        <w:spacing w:after="60"/>
        <w:ind w:firstLine="567"/>
        <w:jc w:val="both"/>
      </w:pPr>
      <w:r>
        <w:rPr>
          <w:rFonts w:ascii="Arial" w:cs="Arial" w:eastAsia="Arial" w:hAnsi="Arial"/>
          <w:sz w:val="24"/>
          <w:szCs w:val="24"/>
        </w:rPr>
        <w:t xml:space="preserve">3. Статьей 3 проекта предлагается дополнить </w:t>
      </w:r>
      <w:hyperlink w:history="1" r:id="rIdwh_obfdmavsstmvojd-sh">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и наделить Центральную комиссию по выборам и проведению референдумов полномочиями по осуществлению проверки ежегодных сводных финансовых отчетов и сведений о поступлении и расходовании средств политических партий, в том числе имущества, получаемого политическими партиями в виде вступительных и членских взносов, пожертвований граждан и юридических лиц.</w:t>
      </w:r>
    </w:p>
    <w:p>
      <w:pPr>
        <w:spacing w:after="60"/>
        <w:ind w:firstLine="567"/>
        <w:jc w:val="both"/>
      </w:pPr>
      <w:r>
        <w:rPr>
          <w:rFonts w:ascii="Arial" w:cs="Arial" w:eastAsia="Arial" w:hAnsi="Arial"/>
          <w:sz w:val="24"/>
          <w:szCs w:val="24"/>
        </w:rPr>
        <w:t xml:space="preserve">По предлагаемым поправкам в статьи 2 и 3 проекта отмечаем, что в </w:t>
      </w:r>
      <w:hyperlink w:history="1" r:id="rIdn11em0brjnvjzyhhs_zgq">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политических партиях" отсутствует норма, наделяющая Центральную комиссию по выборам и проведению референдумов полномочиями по осуществлению проверки ежегодных сводных финансовых отчетов и сведений о поступлении и расходовании средств политических партий, в том числе имущества, получаемого политическими партиями в виде вступительных и членских взносов, пожертвований граждан и юридических лиц, и норма, обязывающая политические партии предоставлять избирательной комиссии ежегодный сводный финансовый отчет о поступлении и расходовании средств.</w:t>
      </w:r>
    </w:p>
    <w:p>
      <w:pPr>
        <w:spacing w:after="60"/>
        <w:ind w:firstLine="567"/>
        <w:jc w:val="both"/>
      </w:pPr>
      <w:r>
        <w:rPr>
          <w:rFonts w:ascii="Arial" w:cs="Arial" w:eastAsia="Arial" w:hAnsi="Arial"/>
          <w:sz w:val="24"/>
          <w:szCs w:val="24"/>
        </w:rPr>
        <w:t xml:space="preserve">В соответствии со </w:t>
      </w:r>
      <w:hyperlink w:history="1" r:id="rId6mb31pbb2vo1ygyqqjcyl">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Кыргызской Республики "О политических партиях" предусмотрено, что контроль за источниками доходов политической партии, размерами полученных ею средств и уплатой налогов осуществляют территориальные органы государственной налоговой службы Кыргызской Республики.</w:t>
      </w:r>
    </w:p>
    <w:p>
      <w:pPr>
        <w:spacing w:after="60"/>
        <w:ind w:firstLine="567"/>
        <w:jc w:val="both"/>
      </w:pPr>
      <w:r>
        <w:rPr>
          <w:rFonts w:ascii="Arial" w:cs="Arial" w:eastAsia="Arial" w:hAnsi="Arial"/>
          <w:sz w:val="24"/>
          <w:szCs w:val="24"/>
        </w:rPr>
        <w:t xml:space="preserve">4. Статьей 5 представленного законопроекта Правительству Кыргызской Республики и Центральной комиссии по выборам и проведению референдумов Кыргызской Республики поручается принести свои нормативные правовые акты в соответствие с настоящим Законом, и принять необходимые нормативные правовые акты, вытекающие из настоящего Закона.</w:t>
      </w:r>
    </w:p>
    <w:p>
      <w:pPr>
        <w:spacing w:after="60"/>
        <w:ind w:firstLine="567"/>
        <w:jc w:val="both"/>
      </w:pPr>
      <w:r>
        <w:rPr>
          <w:rFonts w:ascii="Arial" w:cs="Arial" w:eastAsia="Arial" w:hAnsi="Arial"/>
          <w:sz w:val="24"/>
          <w:szCs w:val="24"/>
        </w:rPr>
        <w:t xml:space="preserve">В соответствии со </w:t>
      </w:r>
      <w:hyperlink w:history="1" r:id="rIdgm0wv8owwtppky950xhjh">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и в справке-обосновании к законопроекту.</w:t>
      </w:r>
    </w:p>
    <w:p>
      <w:pPr>
        <w:spacing w:after="60"/>
        <w:ind w:firstLine="567"/>
        <w:jc w:val="both"/>
      </w:pPr>
      <w:r>
        <w:rPr>
          <w:rFonts w:ascii="Arial" w:cs="Arial" w:eastAsia="Arial" w:hAnsi="Arial"/>
          <w:sz w:val="24"/>
          <w:szCs w:val="24"/>
        </w:rPr>
        <w:t xml:space="preserve">Ввиду этого предлагаем дополнить справку-обоснование сведениями о необходимости разработки или внесения соответствующих поправок в нормативные правовые акты Правительства.</w:t>
      </w:r>
    </w:p>
    <w:p>
      <w:pPr>
        <w:spacing w:after="60"/>
        <w:ind w:firstLine="567"/>
        <w:jc w:val="both"/>
      </w:pPr>
      <w:r>
        <w:rPr>
          <w:rFonts w:ascii="Arial" w:cs="Arial" w:eastAsia="Arial" w:hAnsi="Arial"/>
          <w:sz w:val="24"/>
          <w:szCs w:val="24"/>
        </w:rPr>
        <w:t xml:space="preserve">На основании изложенного Правительство Кыргызской Республики считает нецелесообразным принятие представленного проекта Закона Кыргызской Республики в предлагаемой редакции.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lgvp2ino_hg2lk6s-ldu">
      <w:r>
        <w:rPr>
          <w:rFonts w:ascii="Arial" w:cs="Arial" w:eastAsia="Arial" w:hAnsi="Arial"/>
          <w:color w:val="132D3F"/>
          <w:sz w:val="16"/>
          <w:szCs w:val="16"/>
          <w:u w:val="single"/>
        </w:rPr>
        <w:t xml:space="preserve">dalil.kg/document/157794</w:t>
      </w:r>
    </w:hyperlink>
  </w:p>
  <w:p>
    <w:pPr>
      <w:spacing w:after="0" w:before="40"/>
      <w:jc w:val="center"/>
    </w:pPr>
    <w:hyperlink w:history="1" r:id="rIdau3lpgolbwuzi5eqnheg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6jikwbi2harmvc6jrvy5" Type="http://schemas.openxmlformats.org/officeDocument/2006/relationships/hyperlink" Target="https://dalil.kg/document/203685#st_31" TargetMode="External"/><Relationship Id="rIdsvsuey8dthmvh2ajdf8mj" Type="http://schemas.openxmlformats.org/officeDocument/2006/relationships/hyperlink" Target="https://dalil.kg/document/157794#pr" TargetMode="External"/><Relationship Id="rIdcvdqobzf4u3i_ylbd4tep" Type="http://schemas.openxmlformats.org/officeDocument/2006/relationships/hyperlink" Target="https://dalil.kg/document/203685#st_31" TargetMode="External"/><Relationship Id="rIdgziwolgfmapx2jvckz8_b" Type="http://schemas.openxmlformats.org/officeDocument/2006/relationships/hyperlink" Target="https://dalil.kg/document/111338#st_10" TargetMode="External"/><Relationship Id="rId91_e-kbdg4yqrq7tkkaik" Type="http://schemas.openxmlformats.org/officeDocument/2006/relationships/hyperlink" Target="https://dalil.kg/document/215" TargetMode="External"/><Relationship Id="rId9_kismvuf3eh4fxupzd9c" Type="http://schemas.openxmlformats.org/officeDocument/2006/relationships/hyperlink" Target="https://dalil.kg/document/215" TargetMode="External"/><Relationship Id="rIdpiyaejvm5-rob4luq-i93" Type="http://schemas.openxmlformats.org/officeDocument/2006/relationships/hyperlink" Target="https://dalil.kg/document/215#st_16" TargetMode="External"/><Relationship Id="rIdjmvh2o1ufvgfgomjvefne" Type="http://schemas.openxmlformats.org/officeDocument/2006/relationships/hyperlink" Target="https://dalil.kg/document/111338#st_10" TargetMode="External"/><Relationship Id="rId4wlkmqt-ab5nt5q_dmuol" Type="http://schemas.openxmlformats.org/officeDocument/2006/relationships/hyperlink" Target="https://dalil.kg/document/202591#st_26" TargetMode="External"/><Relationship Id="rId-cchcequbrfxldbqr4fbx" Type="http://schemas.openxmlformats.org/officeDocument/2006/relationships/hyperlink" Target="https://dalil.kg/document/111565" TargetMode="External"/><Relationship Id="rIdgu5lpebzebgcjcai5y8ue" Type="http://schemas.openxmlformats.org/officeDocument/2006/relationships/hyperlink" Target="https://dalil.kg/document/215#st_22" TargetMode="External"/><Relationship Id="rId6obyg666debtfhylvxftz" Type="http://schemas.openxmlformats.org/officeDocument/2006/relationships/hyperlink" Target="https://dalil.kg/document/202591" TargetMode="External"/><Relationship Id="rIdwh_obfdmavsstmvojd-sh" Type="http://schemas.openxmlformats.org/officeDocument/2006/relationships/hyperlink" Target="https://dalil.kg/document/203100" TargetMode="External"/><Relationship Id="rIdn11em0brjnvjzyhhs_zgq" Type="http://schemas.openxmlformats.org/officeDocument/2006/relationships/hyperlink" Target="https://dalil.kg/document/215" TargetMode="External"/><Relationship Id="rId6mb31pbb2vo1ygyqqjcyl" Type="http://schemas.openxmlformats.org/officeDocument/2006/relationships/hyperlink" Target="https://dalil.kg/document/215#st_22" TargetMode="External"/><Relationship Id="rIdgm0wv8owwtppky950xhjh" Type="http://schemas.openxmlformats.org/officeDocument/2006/relationships/hyperlink" Target="https://dalil.kg/document/202591#st_24"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lgvp2ino_hg2lk6s-ldu" Type="http://schemas.openxmlformats.org/officeDocument/2006/relationships/hyperlink" Target="https://dalil.kg/document/157794" TargetMode="External"/><Relationship Id="rIdau3lpgolbwuzi5eqnheg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2026-09-30T14:05:36.506Z</dcterms:created>
  <dcterms:modified xsi:type="dcterms:W3CDTF">2026-09-30T14:05:36.506Z</dcterms:modified>
</cp:coreProperties>
</file>

<file path=docProps/custom.xml><?xml version="1.0" encoding="utf-8"?>
<Properties xmlns="http://schemas.openxmlformats.org/officeDocument/2006/custom-properties" xmlns:vt="http://schemas.openxmlformats.org/officeDocument/2006/docPropsVTypes"/>
</file>