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q9z8bovmja2fpbycg7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24 августа 2020 года № 441)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утверждения национальных эталонов единиц величин, ведения Государственного реестра национальных эталонов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распространяется на национальный орган по метрологии и метрологические службы юридических лиц, которые являются хранителями национальных и исходных эталонов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Эталон</w:t>
      </w:r>
      <w:r>
        <w:rPr>
          <w:rFonts w:ascii="Arial" w:cs="Arial" w:eastAsia="Arial" w:hAnsi="Arial"/>
          <w:sz w:val="24"/>
          <w:szCs w:val="24"/>
        </w:rPr>
        <w:t xml:space="preserve"> - средство измерений, предназначенное для воспроизведения или получения, хранения и передачи единицы величины или шкалы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эталон исходный</w:t>
      </w:r>
      <w:r>
        <w:rPr>
          <w:rFonts w:ascii="Arial" w:cs="Arial" w:eastAsia="Arial" w:hAnsi="Arial"/>
          <w:sz w:val="24"/>
          <w:szCs w:val="24"/>
        </w:rPr>
        <w:t xml:space="preserve"> - эталон, обладающий наивысшими метрологическими свойствами (в стране, регионе, организации, лаборатории) и передающий единицу величины или шкалу измерений подчиненным эталонам и средствам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эталон национальный</w:t>
      </w:r>
      <w:r>
        <w:rPr>
          <w:rFonts w:ascii="Arial" w:cs="Arial" w:eastAsia="Arial" w:hAnsi="Arial"/>
          <w:sz w:val="24"/>
          <w:szCs w:val="24"/>
        </w:rPr>
        <w:t xml:space="preserve"> - эталон, признанный государственным органом по обеспечению единства измерений, для использования в государстве или экономике в качестве исходного для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создание эталона</w:t>
      </w:r>
      <w:r>
        <w:rPr>
          <w:rFonts w:ascii="Arial" w:cs="Arial" w:eastAsia="Arial" w:hAnsi="Arial"/>
          <w:sz w:val="24"/>
          <w:szCs w:val="24"/>
        </w:rPr>
        <w:t xml:space="preserve"> - разработка и изготовление, либо приобретение соответствующих необходимому уровню точности средств измерений для комплектации эталона;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хранение эталонов</w:t>
      </w:r>
      <w:r>
        <w:rPr>
          <w:rFonts w:ascii="Arial" w:cs="Arial" w:eastAsia="Arial" w:hAnsi="Arial"/>
          <w:sz w:val="24"/>
          <w:szCs w:val="24"/>
        </w:rPr>
        <w:t xml:space="preserve"> - совокупность операций, необходимых для обеспечения выполнения обязательных метрологических и технических требований к эталонам, а также требований к их содержанию и применению.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Эталоны метрологических служб юридических лиц, имеющие наивысшие метрологические и технические характеристики в данном виде измерений, могут быть признаны в качестве исходных эталонов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Исходным эталонам некоторых единиц физических величин Кыргызской Республики, которые хранятся в других организациях, придается статус национальных эталонов в соответствии с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Национальные и исходные эталоны подлежат сличению, калибровке или поверке с соответствующими международными (межгосударственными) эталонами для подтверждения своего статуса и метрологических характеристик в процессе хранения и применения. Для каждого эталона разрабатывается схема прослеживаемости, утверждаемая государственным органом по обеспечению единства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Исходный эталон утверждается руководителем организации-хранителя.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Утверждению в качестве национальных эталонов могут подлежать только те эталоны, прослеживаемость которых внутри республики не обеспечивается или те, которые непосредственно реализуют единицу физической величины.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Национальные эталоны вносятся в Государственный реестр национальных эталонов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создания и утверждения национальных эталонов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Национальные эталоны разрабатываются на основании технического задания по созданию национального эталона.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Техническое задание по созданию национальных эталонов в Кыргызской Республике разрабатывается национальным органом по метрологии или метрологическими службами юридических лиц, которые являются хранителями национальных и исходных эталонов Кыргызской Республики (далее - хранители эталонов).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Утверждению в качестве национальных подлежат вновь созданные или существующие эталоны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Подготовку и представление эталонов к утверждению в качестве национальных проводят организации-хранители эталонов.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представления эталона на утверждение в качестве национального хранители эталонов готовят заявку в государственный орган по обеспечению единства измерений. Заявка содержит следующий пакет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техническое задание по созданию эталона;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паспорт эталона, который в виде эксплуатационного документа разрабатывают для впервые разработанных или усовершенствованных эталонов, а также в тех случаях, когда эталон представляет собой комплекс основных и вспомогательных технических средств. Если в качестве эталона используют эталон или средство измерений утвержденного типа, используют паспорт этого эталона или средства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приказа об утверждении в качестве исходного эталона, заверенная печатью организации либо нотариально;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правила содержания и применения эталона.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Техническое задание на создание эталона составляется на основании анализа состояния эталона и условий его хранения и включает следующий перечень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эталона, результаты исследования, калибровок и/или поверок;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лабораторных помещений и требования к условиям хранения и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спецификации на оборудование, систему кондиционирования.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"Анализ состояния эталона, результаты исследования и калибровок и/или поверок" указывается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эталона;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ввода в эксплуатацию эталона;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эталона;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 и наименование организации-хранителя эталона;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и принцип действия эталона;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метрологические характеристики эталона (диапазон или номинальное значение величины, неопределенность измерений, методы исследования метрологических характеристик);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сличения данного эталона с эталонами других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Форма паспорта на эталон утверждается государственным органом по обеспечению единства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Правила хранения и применения эталона должны содержать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 и назначение эталона;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требования к параметрам окружающей среды (температура, давление, влажность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к инженерным коммуникациям, необходимым для функционирования эталона;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периодичность калибровки и сличения эталона;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требования безопасности при работе с эталоном;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правила транспортирования эталона.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Заявка на утверждение эталона в качестве национального рассматривается экспертной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Экспертная комиссия образуется государственным органом по обеспечению единства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состав экспертной комиссии включаются представители государственного органа по обеспечению единства измерений, национального органа по метрологии, и его территориальных подразделений, а также метрологических служб юридических лиц. Председатель экспертной комиссии назначается из числа должностных лиц государственного органа по обеспечению единства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Срок рассмотрения документов экспертной комиссией составляет не более 30 календарных днем со дня получения документов для утверждения эталона в качестве национального.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Экспертная комиссия проводит экспертизу представленных документов. По результатам экспертизы экспертная комиссия проводит оценку на месте: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состава и расположения эталона;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условий хранения и применения эталона;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результатов исследований характеристик эталона;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результатов сличения эталона;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прослеживаемости эталона к международной системе единиц физических величин.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Заключение экспертной комиссии о возможности (невозможности) утверждения национального эталона составляется по форме, утвержденной государственным органом по обеспечению единства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основании положительного заключения экспертной комиссии, государственный орган по обеспечению единства измерений своим приказом утверждает эталон в качестве национального.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принятия экспертной комиссией отрицательного заключения, государственный орган по обеспечению единства измерений направляет письменное обоснование об отказе утверждения эталона заявителю.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ведения Государственного реестра национальных эталонов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Утвержденные эталоны подлежат регистрации и учету.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Регистрация национальных эталонов осуществляется путем внесения сведений о национальных эталонах в Государственный реестр национальных эталонов Кыргызской Республики национальным органом по метрологии на основании приказа государственного органа по обеспечению единства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регистрации национальных эталонов Кыргызской Республики присваивают обозначение, состоящее из индексов "</w:t>
      </w:r>
      <w:r>
        <w:rPr>
          <w:rFonts w:ascii="Arial" w:cs="Arial" w:eastAsia="Arial" w:hAnsi="Arial"/>
          <w:sz w:val="24"/>
          <w:szCs w:val="24"/>
        </w:rPr>
        <w:t xml:space="preserve">KG</w:t>
      </w:r>
      <w:r>
        <w:rPr>
          <w:rFonts w:ascii="Arial" w:cs="Arial" w:eastAsia="Arial" w:hAnsi="Arial"/>
          <w:sz w:val="24"/>
          <w:szCs w:val="24"/>
        </w:rPr>
        <w:t xml:space="preserve"> 417", "НЭ", порядкового регистрационного номера, двух последних цифр года утверждения эталона, отделенных тире.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записи: - K</w:t>
      </w: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 417.НЭ.000-00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KG 417 - код Кыргызской Республики по Межгосударственному классификатору стран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НЭ - национальный эталон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000 - порядковый номер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00 - две последние цифры года регистрации национального эталона.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Государственный реестр национальных эталонов Кыргызской Республики ведется в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Официальная информация о национальных эталонах Кыргызской Республики, включенных в Государственный реестр национальных эталонов Кыргызской Республики, размещается на сайте государственного органа по обеспечению единства измерений и национального органа по метрологии.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xk34dwl9ivmesmwcm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dalil.kg/document/157805</w:t>
      </w:r>
    </w:hyperlink>
  </w:p>
  <w:p>
    <w:pPr>
      <w:spacing w:after="0" w:before="40"/>
      <w:jc w:val="center"/>
    </w:pPr>
    <w:hyperlink w:history="1" r:id="rIdqvj8zbavktip-pb1otq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9z8bovmja2fpbycg7ps" Type="http://schemas.openxmlformats.org/officeDocument/2006/relationships/hyperlink" Target="https://dalil.kg/document/1578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xk34dwl9ivmesmwcmsk" Type="http://schemas.openxmlformats.org/officeDocument/2006/relationships/hyperlink" Target="https://dalil.kg/document/157805" TargetMode="External"/><Relationship Id="rIdqvj8zbavktip-pb1otq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2026-09-30T13:41:59.910Z</dcterms:created>
  <dcterms:modified xsi:type="dcterms:W3CDTF">2026-09-30T13:41:59.910Z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