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18 февраля 2020 года № 91</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лицензионно-разрешительной системе в Кыргызской Республике", "О радиационной безопасности населения Кыргызской Республики")"</w:t>
      </w:r>
    </w:p>
    <w:p>
      <w:pPr>
        <w:spacing w:after="120"/>
        <w:jc w:val="both"/>
      </w:pPr>
      <w:r>
        <w:rPr>
          <w:rFonts w:ascii="Arial" w:cs="Arial" w:eastAsia="Arial" w:hAnsi="Arial"/>
          <w:sz w:val="24"/>
          <w:szCs w:val="24"/>
        </w:rPr>
        <w:t xml:space="preserve">В соответствии со </w:t>
      </w:r>
      <w:hyperlink w:history="1" r:id="rIdt9lpqlbxhoqap0n4upxz_">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j9quqig86_gqvydwwbpt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at35vwempdzvi8gfd5xe0">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p0tiegitfseudhsnwvf9k">
        <w:r>
          <w:rPr>
            <w:rFonts w:ascii="Arial" w:cs="Arial" w:eastAsia="Arial" w:hAnsi="Arial"/>
            <w:color w:val="1D4ED8"/>
            <w:sz w:val="24"/>
            <w:szCs w:val="24"/>
            <w:u w:val="single"/>
          </w:rPr>
          <w:t xml:space="preserve">О радиационной безопасности населения Кыргызской Республики</w:t>
        </w:r>
      </w:hyperlink>
      <w:r>
        <w:rPr>
          <w:rFonts w:ascii="Arial" w:cs="Arial" w:eastAsia="Arial" w:hAnsi="Arial"/>
          <w:sz w:val="24"/>
          <w:szCs w:val="24"/>
        </w:rPr>
        <w:t xml:space="preserve">")", инициированный депутатом Жогорку Кенеша Кыргызской Республики Омуркуловым И.Ш.</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лицензионно-разрешительной системе в Кыргызской Республике", "О радиационной безопасности населения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"О лицензионно-разрешительной системе в Кыргызской Республике", "О радиационной безопасности населения Кыргызской Республики")" (далее - проект Закона), инициированный депутатом Жогорку Кенеша Кыргызской Республики Омуркуловым И.Ш., приходит к следующему заключению.</w:t>
      </w:r>
    </w:p>
    <w:p>
      <w:pPr>
        <w:spacing w:after="60"/>
        <w:ind w:firstLine="567"/>
        <w:jc w:val="both"/>
      </w:pPr>
      <w:r>
        <w:rPr>
          <w:rFonts w:ascii="Arial" w:cs="Arial" w:eastAsia="Arial" w:hAnsi="Arial"/>
          <w:sz w:val="24"/>
          <w:szCs w:val="24"/>
        </w:rPr>
        <w:t xml:space="preserve">1) Пунктом 1 статьи 1 проекта Закона вводится лицензирование на вид деятельности, связанный с перевозкой (в том числе трансграничной), хранением, использованием, захоронением радиоактивных материалов, веществ и источников ионизирующего излучения.</w:t>
      </w:r>
    </w:p>
    <w:p>
      <w:pPr>
        <w:spacing w:after="60"/>
        <w:ind w:firstLine="567"/>
        <w:jc w:val="both"/>
      </w:pPr>
      <w:r>
        <w:rPr>
          <w:rFonts w:ascii="Arial" w:cs="Arial" w:eastAsia="Arial" w:hAnsi="Arial"/>
          <w:sz w:val="24"/>
          <w:szCs w:val="24"/>
        </w:rPr>
        <w:t xml:space="preserve">Вместе с тем, согласно части 2 статьи 7 Закона Кыргызской Республики "О лицензионно-разрешительной системе в Кыргызской Республике" введение лицензирования для отдельных видов деятельности возможно исключительно на основании принципов и критериев, предусмотренных статьями 5 и 6 указанного Закона.</w:t>
      </w:r>
    </w:p>
    <w:p>
      <w:pPr>
        <w:spacing w:after="60"/>
        <w:ind w:firstLine="567"/>
        <w:jc w:val="both"/>
      </w:pPr>
      <w:r>
        <w:rPr>
          <w:rFonts w:ascii="Arial" w:cs="Arial" w:eastAsia="Arial" w:hAnsi="Arial"/>
          <w:sz w:val="24"/>
          <w:szCs w:val="24"/>
        </w:rPr>
        <w:t xml:space="preserve">Так, статьей 5 указанного Закона установлено, что одним из принципов введения лицензирования является доказательность введения лицензирования.</w:t>
      </w:r>
    </w:p>
    <w:p>
      <w:pPr>
        <w:spacing w:after="60"/>
        <w:ind w:firstLine="567"/>
        <w:jc w:val="both"/>
      </w:pPr>
      <w:r>
        <w:rPr>
          <w:rFonts w:ascii="Arial" w:cs="Arial" w:eastAsia="Arial" w:hAnsi="Arial"/>
          <w:sz w:val="24"/>
          <w:szCs w:val="24"/>
        </w:rPr>
        <w:t xml:space="preserve">В соответствии со статьей 6 указанного Закона обоснование необходимости введения лицензионного регулирования должно напрямую соотноситься с критериями по оценке методов регулирования деятельности по уровню риска нанесения вреда жизни, здоровью людей, окружающей среде и т.д.</w:t>
      </w:r>
    </w:p>
    <w:p>
      <w:pPr>
        <w:spacing w:after="60"/>
        <w:ind w:firstLine="567"/>
        <w:jc w:val="both"/>
      </w:pPr>
      <w:r>
        <w:rPr>
          <w:rFonts w:ascii="Arial" w:cs="Arial" w:eastAsia="Arial" w:hAnsi="Arial"/>
          <w:sz w:val="24"/>
          <w:szCs w:val="24"/>
        </w:rPr>
        <w:t xml:space="preserve">При этом, справка-обоснование к проекту Закона не содержит информации по вышеуказанным вопросам.</w:t>
      </w:r>
    </w:p>
    <w:p>
      <w:pPr>
        <w:spacing w:after="60"/>
        <w:ind w:firstLine="567"/>
        <w:jc w:val="both"/>
      </w:pPr>
      <w:r>
        <w:rPr>
          <w:rFonts w:ascii="Arial" w:cs="Arial" w:eastAsia="Arial" w:hAnsi="Arial"/>
          <w:sz w:val="24"/>
          <w:szCs w:val="24"/>
        </w:rPr>
        <w:t xml:space="preserve">В связи с чем, в целях соблюдения положений Закона Кыргызской Республики "О лицензионно-разрешительной системе в Кыргызской Республике" предлагаем справку-обоснование дополнить необходимой информацией.</w:t>
      </w:r>
    </w:p>
    <w:p>
      <w:pPr>
        <w:spacing w:after="60"/>
        <w:ind w:firstLine="567"/>
        <w:jc w:val="both"/>
      </w:pPr>
      <w:r>
        <w:rPr>
          <w:rFonts w:ascii="Arial" w:cs="Arial" w:eastAsia="Arial" w:hAnsi="Arial"/>
          <w:sz w:val="24"/>
          <w:szCs w:val="24"/>
        </w:rPr>
        <w:t xml:space="preserve">2) Пунктом 2 статьи 1 проекта Закона в перечень действий в процессе деятельности, требующих получения разрешений, предлагается включить ввоз, вывоз и транспортировку на территории Кыргызской Республики радиоактивных материалов и веществ.</w:t>
      </w:r>
    </w:p>
    <w:p>
      <w:pPr>
        <w:spacing w:after="60"/>
        <w:ind w:firstLine="567"/>
        <w:jc w:val="both"/>
      </w:pPr>
      <w:r>
        <w:rPr>
          <w:rFonts w:ascii="Arial" w:cs="Arial" w:eastAsia="Arial" w:hAnsi="Arial"/>
          <w:sz w:val="24"/>
          <w:szCs w:val="24"/>
        </w:rPr>
        <w:t xml:space="preserve">В соответствии со статьей 3 Закона Кыргызской Республики "Об обязательном страховании гражданской ответственности перевозчика опасных грузов" радиоактивные вещества относятся к опасным грузам 7 класса.</w:t>
      </w:r>
    </w:p>
    <w:p>
      <w:pPr>
        <w:spacing w:after="60"/>
        <w:ind w:firstLine="567"/>
        <w:jc w:val="both"/>
      </w:pPr>
      <w:r>
        <w:rPr>
          <w:rFonts w:ascii="Arial" w:cs="Arial" w:eastAsia="Arial" w:hAnsi="Arial"/>
          <w:sz w:val="24"/>
          <w:szCs w:val="24"/>
        </w:rPr>
        <w:t xml:space="preserve">При этом, пунктом 26 статьи 17 Закона Кыргызской Республики "О лицензионно-разрешительной системе в Кыргызской Республике" перевозка опасных грузов включена в перечень действий, требующих получения разрешений.</w:t>
      </w:r>
    </w:p>
    <w:p>
      <w:pPr>
        <w:spacing w:after="60"/>
        <w:ind w:firstLine="567"/>
        <w:jc w:val="both"/>
      </w:pPr>
      <w:r>
        <w:rPr>
          <w:rFonts w:ascii="Arial" w:cs="Arial" w:eastAsia="Arial" w:hAnsi="Arial"/>
          <w:sz w:val="24"/>
          <w:szCs w:val="24"/>
        </w:rPr>
        <w:t xml:space="preserve">В связи с чем, во избежание дублирования, предлагаем доработать редакцию пункта 2 статьи 1 проекта Закона.</w:t>
      </w:r>
    </w:p>
    <w:p>
      <w:pPr>
        <w:spacing w:after="60"/>
        <w:ind w:firstLine="567"/>
        <w:jc w:val="both"/>
      </w:pPr>
      <w:r>
        <w:rPr>
          <w:rFonts w:ascii="Arial" w:cs="Arial" w:eastAsia="Arial" w:hAnsi="Arial"/>
          <w:sz w:val="24"/>
          <w:szCs w:val="24"/>
        </w:rPr>
        <w:t xml:space="preserve">3) Статьей 2 проекта Закона предлагается внести изменения в статьи 10 и 11 Закона Кыргызской Республики "О радиационной безопасности населения Кыргызской Республики", предусматривающие полномочия Правительства Кыргызской Республики, уполномоченных государственных органов и органов местного самоуправления в сфере обеспечения радиационной безопасности.</w:t>
      </w:r>
    </w:p>
    <w:p>
      <w:pPr>
        <w:spacing w:after="60"/>
        <w:ind w:firstLine="567"/>
        <w:jc w:val="both"/>
      </w:pPr>
      <w:r>
        <w:rPr>
          <w:rFonts w:ascii="Arial" w:cs="Arial" w:eastAsia="Arial" w:hAnsi="Arial"/>
          <w:sz w:val="24"/>
          <w:szCs w:val="24"/>
        </w:rPr>
        <w:t xml:space="preserve">В свою очередь, справка-обоснование к проекту Закона недостаточно раскрывает цели и задачи, которые предположительно будут достигнуты при внесении предлагаемых дополнений и изменений, а также механизмы их реализации.</w:t>
      </w:r>
    </w:p>
    <w:p>
      <w:pPr>
        <w:spacing w:after="60"/>
        <w:ind w:firstLine="567"/>
        <w:jc w:val="both"/>
      </w:pPr>
      <w:r>
        <w:rPr>
          <w:rFonts w:ascii="Arial" w:cs="Arial" w:eastAsia="Arial" w:hAnsi="Arial"/>
          <w:sz w:val="24"/>
          <w:szCs w:val="24"/>
        </w:rPr>
        <w:t xml:space="preserve">В частности, пунктом 2 статьи 2 проекта Закона предлагается наделить Правительство Кыргызской Республики полномочиями по созданию независимого регулирующего органа в области радиационной безопасности, обладающего функциями и финансовыми ресурсами. Вместе с тем создание отдельного органа потребует соответствующих финансовых средств.</w:t>
      </w:r>
    </w:p>
    <w:p>
      <w:pPr>
        <w:spacing w:after="60"/>
        <w:ind w:firstLine="567"/>
        <w:jc w:val="both"/>
      </w:pPr>
      <w:r>
        <w:rPr>
          <w:rFonts w:ascii="Arial" w:cs="Arial" w:eastAsia="Arial" w:hAnsi="Arial"/>
          <w:sz w:val="24"/>
          <w:szCs w:val="24"/>
        </w:rPr>
        <w:t xml:space="preserve">Согласно Закону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При этом справка-обоснование также должна содержать сведения о наличии источников финансирования.</w:t>
      </w:r>
    </w:p>
    <w:p>
      <w:pPr>
        <w:spacing w:after="60"/>
        <w:ind w:firstLine="567"/>
        <w:jc w:val="both"/>
      </w:pPr>
      <w:r>
        <w:rPr>
          <w:rFonts w:ascii="Arial" w:cs="Arial" w:eastAsia="Arial" w:hAnsi="Arial"/>
          <w:sz w:val="24"/>
          <w:szCs w:val="24"/>
        </w:rPr>
        <w:t xml:space="preserve">В этой связи абзацы третий и четвертый пункта 2 статьи 2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"3) определение регулирующего органа в области радиационной безопасности;".</w:t>
      </w:r>
    </w:p>
    <w:p>
      <w:pPr>
        <w:spacing w:after="60"/>
        <w:ind w:firstLine="567"/>
        <w:jc w:val="both"/>
      </w:pPr>
      <w:r>
        <w:rPr>
          <w:rFonts w:ascii="Arial" w:cs="Arial" w:eastAsia="Arial" w:hAnsi="Arial"/>
          <w:sz w:val="24"/>
          <w:szCs w:val="24"/>
        </w:rPr>
        <w:t xml:space="preserve">Пунктом 3 статьи 2 проекта Закона предлагается изложить в новой редакции часть 6 статьи 11 Закона Кыргызской Республики "О радиационной безопасности населения Кыргызской Республики", предусматривающей полномочия органов местного самоуправления, включая полномочия по проведению государственной политики в области экономического стимулирования деятельности физических и юридических лиц по обеспечению радиационной безопасности.</w:t>
      </w:r>
    </w:p>
    <w:p>
      <w:pPr>
        <w:spacing w:after="60"/>
        <w:ind w:firstLine="567"/>
        <w:jc w:val="both"/>
      </w:pPr>
      <w:r>
        <w:rPr>
          <w:rFonts w:ascii="Arial" w:cs="Arial" w:eastAsia="Arial" w:hAnsi="Arial"/>
          <w:sz w:val="24"/>
          <w:szCs w:val="24"/>
        </w:rPr>
        <w:t xml:space="preserve">Однако следует отметить, что действующая редакция части 6 статьи 11 Закона Кыргызской Республики "О радиационной безопасности населения Кыргызской Республики" уже содержит предлагаемые проектом Закона полномочия.</w:t>
      </w:r>
    </w:p>
    <w:p>
      <w:pPr>
        <w:spacing w:after="60"/>
        <w:ind w:firstLine="567"/>
        <w:jc w:val="both"/>
      </w:pPr>
      <w:r>
        <w:rPr>
          <w:rFonts w:ascii="Arial" w:cs="Arial" w:eastAsia="Arial" w:hAnsi="Arial"/>
          <w:sz w:val="24"/>
          <w:szCs w:val="24"/>
        </w:rPr>
        <w:t xml:space="preserve">Также отмечаем, что в соответствии с Конституцией Кыргызской Республики одним из принципов построения государственной власти является принцип разграничения функций и полномочий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Согласно Закону Кыргызской Республики "О местном самоуправлении" органы местного самоуправления - это представительные, исполнительные органы, обеспечивающие решение вопросов местного значения.</w:t>
      </w:r>
    </w:p>
    <w:p>
      <w:pPr>
        <w:spacing w:after="60"/>
        <w:ind w:firstLine="567"/>
        <w:jc w:val="both"/>
      </w:pPr>
      <w:r>
        <w:rPr>
          <w:rFonts w:ascii="Arial" w:cs="Arial" w:eastAsia="Arial" w:hAnsi="Arial"/>
          <w:sz w:val="24"/>
          <w:szCs w:val="24"/>
        </w:rPr>
        <w:t xml:space="preserve">В связи с чем, предлагаем пункт 3 статьи 2 проекта Закона доработать, с учетом вышеизложенного.</w:t>
      </w:r>
    </w:p>
    <w:p>
      <w:pPr>
        <w:spacing w:after="60"/>
        <w:ind w:firstLine="567"/>
        <w:jc w:val="both"/>
      </w:pPr>
      <w:r>
        <w:rPr>
          <w:rFonts w:ascii="Arial" w:cs="Arial" w:eastAsia="Arial" w:hAnsi="Arial"/>
          <w:sz w:val="24"/>
          <w:szCs w:val="24"/>
        </w:rPr>
        <w:t xml:space="preserve">Одновременно обращаем внимание, что предлагаемая редакция статьи 11 Закона Кыргызской Республики "О радиационной безопасности населения Кыргызской Республики" в большей части дублирует положения действующей редакции статьи 11 указанного Закона.</w:t>
      </w:r>
    </w:p>
    <w:p>
      <w:pPr>
        <w:spacing w:after="60"/>
        <w:ind w:firstLine="567"/>
        <w:jc w:val="both"/>
      </w:pPr>
      <w:r>
        <w:rPr>
          <w:rFonts w:ascii="Arial" w:cs="Arial" w:eastAsia="Arial" w:hAnsi="Arial"/>
          <w:sz w:val="24"/>
          <w:szCs w:val="24"/>
        </w:rPr>
        <w:t xml:space="preserve">В связи с чем, предлагаем пункт 3 статьи 2 проекта Закона доработать с учетом требований пунктов 105-107 Инструкции по законодательной технике, утвержденной постановлением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а также учитывая, что проект Закона Кыргызской Республики "О внесении изменений в некоторые законодательные акты Кыргызской Республики (в законы Кыргызской Республики "О лицензионно-разрешительной системе в Кыргызской Республике" "О радиационной безопасности населения Кыргызской Республики")" разработан в целях устранения пробелов и коллизий в законодательстве, а также приведения в соответствие норм законодательства Кыргызской Республики с международными нормами стандартов Международного агентства по атомной энергии (МАГАТЭ), Правительство Кыргызской Республики считает возможным его принятие, с учетом замечаний и предложений, изложенных в настоящем заключении.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ieqrvqbn8vfdd491mgq">
      <w:r>
        <w:rPr>
          <w:rFonts w:ascii="Arial" w:cs="Arial" w:eastAsia="Arial" w:hAnsi="Arial"/>
          <w:color w:val="132D3F"/>
          <w:sz w:val="16"/>
          <w:szCs w:val="16"/>
          <w:u w:val="single"/>
        </w:rPr>
        <w:t xml:space="preserve">dalil.kg/document/157820</w:t>
      </w:r>
    </w:hyperlink>
  </w:p>
  <w:p>
    <w:pPr>
      <w:spacing w:after="0" w:before="40"/>
      <w:jc w:val="center"/>
    </w:pPr>
    <w:hyperlink w:history="1" r:id="rIdxcf64chzafzw8km-eb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lpqlbxhoqap0n4upxz_" Type="http://schemas.openxmlformats.org/officeDocument/2006/relationships/hyperlink" Target="https://dalil.kg/document/203685#st_31" TargetMode="External"/><Relationship Id="rIdj9quqig86_gqvydwwbpth" Type="http://schemas.openxmlformats.org/officeDocument/2006/relationships/hyperlink" Target="https://dalil.kg/document/157820#pr1" TargetMode="External"/><Relationship Id="rIdat35vwempdzvi8gfd5xe0" Type="http://schemas.openxmlformats.org/officeDocument/2006/relationships/hyperlink" Target="https://dalil.kg/document/205058" TargetMode="External"/><Relationship Id="rIdp0tiegitfseudhsnwvf9k" Type="http://schemas.openxmlformats.org/officeDocument/2006/relationships/hyperlink" Target="https://dalil.kg/document/22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ieqrvqbn8vfdd491mgq" Type="http://schemas.openxmlformats.org/officeDocument/2006/relationships/hyperlink" Target="https://dalil.kg/document/157820" TargetMode="External"/><Relationship Id="rIdxcf64chzafzw8km-eb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2026-10-01T01:24:12.979Z</dcterms:created>
  <dcterms:modified xsi:type="dcterms:W3CDTF">2026-10-01T01:24:12.979Z</dcterms:modified>
</cp:coreProperties>
</file>

<file path=docProps/custom.xml><?xml version="1.0" encoding="utf-8"?>
<Properties xmlns="http://schemas.openxmlformats.org/officeDocument/2006/custom-properties" xmlns:vt="http://schemas.openxmlformats.org/officeDocument/2006/docPropsVTypes"/>
</file>