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f8866umyx5isnphoch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февраля 2020 года № 113)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Временный 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услуг и сервисов в цифровой форме посредством государственной цифровой платформы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ro1qpyhbwdoqgy3-z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предоставления услуг и сервисов в цифровой форме посредством государственной цифровой платформы (далее - Временный порядок) определяет порядок инновационных способов предоставления физическим и юридическим лицам услуг и сервисов в рамках реализации пилотного проекта "Государство как платформа".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 и сервисы в цифровой форме в рамках пилотного проекта предоставляются с использованием устройств доступа пользователей посредством информационных систем и программных приложений (включая мобильное или интернет-приложение, личный кабинет, мобильный или интернет-банкинг) участников пилотирования, указанных в реестре участников пилотирования, на условиях, установленных настоящим Временным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порядке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цифровая платформа (ГЦП)</w:t>
      </w:r>
      <w:r>
        <w:rPr>
          <w:rFonts w:ascii="Arial" w:cs="Arial" w:eastAsia="Arial" w:hAnsi="Arial"/>
          <w:sz w:val="24"/>
          <w:szCs w:val="24"/>
        </w:rPr>
        <w:t xml:space="preserve"> - единая многоканальная интерактивная цифровая платформа, представляющая собой программно-аппаратную среду (информационная система), которая поддерживает алгоритмизированные взаимоотношения участников пилотирования, пользователей и поставщиков услуг, обеспечивает их интегрированными услугами и сервисами, предоставляет возможности для подключения (открытого использования) новых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пилотирования</w:t>
      </w:r>
      <w:r>
        <w:rPr>
          <w:rFonts w:ascii="Arial" w:cs="Arial" w:eastAsia="Arial" w:hAnsi="Arial"/>
          <w:sz w:val="24"/>
          <w:szCs w:val="24"/>
        </w:rPr>
        <w:t xml:space="preserve"> - имеющие соответствующие лицензии операторы мобильной сотовой связи, коммерческие банки, небанковские финансово-кредитные организации и другие юридические лица, поднадзорные Национальному банку Кыргызской Республики (лица, предоставляющие платежные услуги), а также юридические лица, указанные в реестре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являющееся клиентом коммерческого банка, небанковской финансово-кредитной организации и других юридических лиц, поднадзорных Национальному банку Кыргызской Республики, или абонентом оператора мобильной сотовой связи и подавшее запрос на получение услуги или сервиса в цифровой форме посредством ГЦП через соответствующее программное приложение, информационную систему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</w:t>
      </w:r>
      <w:r>
        <w:rPr>
          <w:rFonts w:ascii="Arial" w:cs="Arial" w:eastAsia="Arial" w:hAnsi="Arial"/>
          <w:sz w:val="24"/>
          <w:szCs w:val="24"/>
        </w:rPr>
        <w:t xml:space="preserve"> -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 посредством ГЦП.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Сервисы могут иметь характер суперсервисов - предоставление комплексных услуг, в том числе сформированного автоматизированным способом комплексного ответа по одному запросу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"Тундук" и предоставляющие услуги и сервисы пользователям посредством ГЦП в рамках пилотного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ответственный за реализацию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пилотный проект "Государство как платформа"</w:t>
      </w:r>
      <w:r>
        <w:rPr>
          <w:rFonts w:ascii="Arial" w:cs="Arial" w:eastAsia="Arial" w:hAnsi="Arial"/>
          <w:sz w:val="24"/>
          <w:szCs w:val="24"/>
        </w:rPr>
        <w:t xml:space="preserve"> - пилотный проект по внедрению инновационных способов предоставления физическим и юридическим лицам услуг и сервисов в цифровой форме посредством общей многоканальной интерактивной цифровой платформы через систему межведомственного электронного взаимодействия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участников пилотирования (Реестр)</w:t>
      </w:r>
      <w:r>
        <w:rPr>
          <w:rFonts w:ascii="Arial" w:cs="Arial" w:eastAsia="Arial" w:hAnsi="Arial"/>
          <w:sz w:val="24"/>
          <w:szCs w:val="24"/>
        </w:rPr>
        <w:t xml:space="preserve"> - информационная подсистема, посредством которой осуществляются накопление, учет и предоставление информации об участниках пилотирования, их информационных системах, программных приложениях, услугах/сервисах, предоставляемых поставщиками услуг в рамках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Реестра определяется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и/или муниципальная услуга, предоставляемая в цифровой (электронной) форме посредством ГЦП;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</w:t>
      </w:r>
      <w:r>
        <w:rPr>
          <w:rFonts w:ascii="Arial" w:cs="Arial" w:eastAsia="Arial" w:hAnsi="Arial"/>
          <w:sz w:val="24"/>
          <w:szCs w:val="24"/>
        </w:rPr>
        <w:t xml:space="preserve"> - электронный документ (справка), сформированный ГЦП в виде, пригодном для восприятия человеком, с использованием электронных вычислительных машин для просмотра, сохранения и/или печати на соответствующем устройстве доступа пользователя, запрошенный пользователем через программное приложение, информационную систему участника пилотирования и содержащий все реквизиты согласно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5377oluxbtcuubmw8i-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 форма результата услуги (справки), сформированного посредством ГЦП в форме электронного документа, приведены в приложении к настоящему Временному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доступа</w:t>
      </w:r>
      <w:r>
        <w:rPr>
          <w:rFonts w:ascii="Arial" w:cs="Arial" w:eastAsia="Arial" w:hAnsi="Arial"/>
          <w:sz w:val="24"/>
          <w:szCs w:val="24"/>
        </w:rPr>
        <w:t xml:space="preserve"> - оконечное оборудование (технические средства или устройства, подключенные к сети электросвязи, - персональный компьютер, планшетный компьютер, мобильный телефон или иное устройство), обеспечивающее доступ пользователя к услугам и сервисам через различные программные приложения, информационные системы участников пилотирования (мобильное или интернет-приложение, личный кабинет, мобильный или интернет-банкинг), включая возможность для осуществления платежей с использованием электронных денег, банковских счетов и банковских платежных карт;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идентифицированный пользователь</w:t>
      </w:r>
      <w:r>
        <w:rPr>
          <w:rFonts w:ascii="Arial" w:cs="Arial" w:eastAsia="Arial" w:hAnsi="Arial"/>
          <w:sz w:val="24"/>
          <w:szCs w:val="24"/>
        </w:rPr>
        <w:t xml:space="preserve"> - пользователь, прошедший обязательную процедуру установления личности у участника пилотирования, по паспорту гражданина Кыргызской Республики и/или по действительному документу, удостоверяющему личность (для иностранных граждан и/или лиц, получивших временный или постоянный вид на жительство в Кыргызской Республике), в том числе с использованием государственного реестра национальных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усиленная 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- это юридически значимая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на стороне пользователя оставляя лишь необходимость подтвердить свою личность и совершение операции удобным способом, в том числе посредством мобильных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бот</w:t>
      </w:r>
      <w:r>
        <w:rPr>
          <w:rFonts w:ascii="Arial" w:cs="Arial" w:eastAsia="Arial" w:hAnsi="Arial"/>
          <w:sz w:val="24"/>
          <w:szCs w:val="24"/>
        </w:rPr>
        <w:t xml:space="preserve"> - это программа, работающая по заданному алгоритму, которая ведет диалог с пользователем, отвечая на часто задаваемые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в настоящем Временном порядке употребляются в значениях, определенных в законах Кыргызской Республики "</w:t>
      </w:r>
      <w:hyperlink w:history="1" r:id="rIdnpv3st2qgxfo1a1smr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xweqhadlpqw2jxgm-3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uk1wiaucxooytailob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l0nvwh2xbnltjwxxzp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rzke6a6kem2ners_ad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irf4lll_oiien8d33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_mr4wkqhrw9f1ls6ny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rq3wuqdow4cxfqbgx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банковском законодательстве,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qpmajcjn60cwhxkk0u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предоставления услуг и сервисов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услуг и сервисов, доступных в рамках пилотного проекта, и условия их получения указываются в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и сервисы, предоставляемые в рамках пилотного проекта, подразделяются на два вида: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и сервисы, предоставляемые исключительно идентифицированным пользователям. При этом участники пилотирования обязаны довести до сведения пользователя информацию о необходимости получения статуса "идентифицированный пользователь";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и сервисы, не требующие получения статуса "идентифицированный пользователь" (доступны всем пользователям, без исключения).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Неидентифицированные пользователи, желающие получать услуги и сервисы, содержащие информацию персонального характера, в рамках пилотного проекта посредством программных приложений или информационных систем участников пилотирования, обязаны пройти процедуры персонификации в соответствии с </w:t>
      </w:r>
      <w:hyperlink w:history="1" r:id="rId8aefep0tocuqsmwc4q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утвержденным </w:t>
      </w:r>
      <w:hyperlink w:history="1" r:id="rIdtwapkobka5w3inv4mw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2018 года № 606, а также </w:t>
      </w:r>
      <w:hyperlink w:history="1" r:id="rIduhxymtjy8idpecpykxf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связи, утвержденными </w:t>
      </w:r>
      <w:hyperlink w:history="1" r:id="rIddykvqou1inn_spco9b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2014 года № 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подключения информационных систем и приложений участников пилотирования к услугам и сервисам поставщиков услуг, обмену информацией (данными, электронными документами) посредством ГЦП, в том числе в целях сопоставления данных пользователя и его персональных данных, содержащихся в информационных ресурсах соответствующих поставщиков услуг, участники пилотирования и поставщики услуг подписывают соглашение о присоединении к системе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Подписания соглашений между участниками пилотирования и поставщиками услуг в рамках пилотного проекта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Поставщики услуг вправе подписать соглашение с уполномоченным государственным органом об условиях доступа к их информационным системам в рамках пилотного проекта, с соблюдением необходимых мер безопасности и сохранности информации персонального характера, с включением условия о запрете использования в личных целях информации, которая стала известна участникам пилотирования в процессе предоставления сервисов и услуг конечным 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Доступ участников пилотирования к информации о сервисах и услугах поставщиков услуг предоставляется на основании соглашения с уполномоченным государственным органом об условиях доступа к информации, с соблюдением необходимых мер безопасности и сохранности информации персонального характера, с включением условия о запрете использования в личных целях информации, которая стала известна участникам пилотирования в процессе предоставления сервисов и услуг конечным 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Обязанность по обеспечению полноты, доступности и бесперебойного функционирования услуг и сервисов возлагается на поставщиков услуг (обладатель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Участники пилотирования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возможность получения (в том числе удаленно, посредством информационного взаимодействия) согласия пользователя на сбор и обработку его персональных данных для целей предоставления услуг и сервисов по форме и процедуре, которые установлены Порядком получения согласия субъекта персональных данных на сбор и обработку его персональных данных, порядком и формой уведомления субъектов персональных данных о передаче их персональных данных третьей стороне,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759, и функционала по идентификации и верификации личности конечного получателя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пользователя, обратившегося за получением услуги/сервиса посредством приложения (информационной системы) участника пилотирования, на сбор и обработку его персональных данных в целях получения государственных услуг в виде электронного документа, подписывается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усиленной электронной подписью, реализованной с помощью различных технологических решений, совместимых с информационными системами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электронной подписью путем использования устройств доступа пользователя, удовлетворяющих требованиям </w:t>
      </w:r>
      <w:hyperlink w:history="1" r:id="rIde4fzpccbele4hsm-le3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в части использования простых электронных подписей;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хранение, целостность факта получения согласия пользователя на обработку его персональных данных в форме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запросе услуги/сервиса из информационной системы соответствующего поставщика услуг - обеспечить передачу информации о факте получения согласия на обработку персональных данных заявителя в форме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организационные и технические меры по защите информации, включая соблюдение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5bckqfani6oaeex0sw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постоянной основе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услугам и сервисам, требующим обязательной персонификации, идентификации и верификации, только персонифицированным, идентифицированным и верифицированным пользователям, а также исключить на программном уровне возможность получения заявленной услуги другими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всем конечным пользователям к услугам и сервисам, не требующим обязательной персонификации, идентификации и верификации;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полный запрет на размещение рекламы на целевых страницах услуг и сервисов в приложениях и информационных системах, распространение которой прямо запрещено или не допускается </w:t>
      </w:r>
      <w:hyperlink w:history="1" r:id="rId-mcfagqsocd2bvoo9v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поддерживать постоянную работоспособность своих информационных систем и приложений, а также обеспечить защиту информации и уровень безопасности в соответствии с </w:t>
      </w:r>
      <w:hyperlink w:history="1" r:id="rIdrafmyc2a72ig8wz9o6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пилотирования не вправе хранить в своих информационных системах сведения, полученные в рамках пилотного проекта от поставщиков услуг (документы, информацию персонального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несовпадении данных (сведений, информации) в документе на материальном носителе и в электронном документе, сформированном посредством ГЦП на основе данных (сведений, информации) из информационных систем поставщиков услуг, получатель соответствующих данных (пользователь) при оспаривании их полноты, достоверности и актуальности в электронном документе, внесении необходимых изменений обращается к владельцу соответствующей информационной системы (обладателю 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необходимости оплаты услуг и сервисов посредством ГЦП (если услуга является платной), пользователь производит оплату через программные приложения, информационные системы участников пилотирования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автоматически формируется соответствующий электронный чек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оплате за услуги и сервисы автоматически направляется в государственную систему электронных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государственной системы электронных платежей, обмен информацией между участниками пилотирования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iit8brhgsi_4fjnun2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системе электронных платежей" от 28 октября 2017 года № 709.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Продолжительность предоставления государственных услуг посредством ГЦП определяется Стандартами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утвержденными </w:t>
      </w:r>
      <w:hyperlink w:history="1" r:id="rIde5bjpe7rmvxlh3q-r5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предоставления муниципальных услуг посредством ГЦП определяется Стандартами муниципальных услуг, входящих в Базовый реестр муниципальных услуг, предоставляемых органами местного самоуправления Кыргызской Республики, утвержденными постановлением Правительства Кыргызской Республики от 9 февраля 2017 года № 91.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Предоставляемая в процессе оказания услуг в электронной форме информация (включая персональные данные) должна быть защищена участниками пилотирования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Временному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государственных органов и органов местного самоуправления,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ГЦП, в соответствии с </w:t>
      </w:r>
      <w:hyperlink w:history="1" r:id="rIdvc_xwuqrjd47i9lwwqj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трудовым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u2f5gq20hkiv1xun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dalil.kg/document/157876</w:t>
      </w:r>
    </w:hyperlink>
  </w:p>
  <w:p>
    <w:pPr>
      <w:spacing w:after="0" w:before="40"/>
      <w:jc w:val="center"/>
    </w:pPr>
    <w:hyperlink w:history="1" r:id="rIdbcypiv15z5jhd_8_eul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8866umyx5isnphochyd" Type="http://schemas.openxmlformats.org/officeDocument/2006/relationships/hyperlink" Target="https://dalil.kg/document/157875" TargetMode="External"/><Relationship Id="rIdsrro1qpyhbwdoqgy3-z3c" Type="http://schemas.openxmlformats.org/officeDocument/2006/relationships/hyperlink" Target="https://dalil.kg/document/158327" TargetMode="External"/><Relationship Id="rId5377oluxbtcuubmw8i-jy" Type="http://schemas.openxmlformats.org/officeDocument/2006/relationships/hyperlink" Target="https://dalil.kg/document/111635" TargetMode="External"/><Relationship Id="rIdnpv3st2qgxfo1a1smrmh6" Type="http://schemas.openxmlformats.org/officeDocument/2006/relationships/hyperlink" Target="https://dalil.kg/document/111634" TargetMode="External"/><Relationship Id="rIdzxweqhadlpqw2jxgm-3hz" Type="http://schemas.openxmlformats.org/officeDocument/2006/relationships/hyperlink" Target="https://dalil.kg/document/111635" TargetMode="External"/><Relationship Id="rIdmuk1wiaucxooytailob3n" Type="http://schemas.openxmlformats.org/officeDocument/2006/relationships/hyperlink" Target="https://dalil.kg/document/202010" TargetMode="External"/><Relationship Id="rIdl0nvwh2xbnltjwxxzpafd" Type="http://schemas.openxmlformats.org/officeDocument/2006/relationships/hyperlink" Target="https://dalil.kg/document/205360" TargetMode="External"/><Relationship Id="rId6rzke6a6kem2ners_adtt" Type="http://schemas.openxmlformats.org/officeDocument/2006/relationships/hyperlink" Target="https://dalil.kg/document/42" TargetMode="External"/><Relationship Id="rIdpirf4lll_oiien8d33j6v" Type="http://schemas.openxmlformats.org/officeDocument/2006/relationships/hyperlink" Target="https://dalil.kg/document/162" TargetMode="External"/><Relationship Id="rIdu_mr4wkqhrw9f1ls6nypd" Type="http://schemas.openxmlformats.org/officeDocument/2006/relationships/hyperlink" Target="https://dalil.kg/document/111486" TargetMode="External"/><Relationship Id="rIdxrq3wuqdow4cxfqbgxwnq" Type="http://schemas.openxmlformats.org/officeDocument/2006/relationships/hyperlink" Target="https://dalil.kg/document/202269" TargetMode="External"/><Relationship Id="rIdrqpmajcjn60cwhxkk0u9n" Type="http://schemas.openxmlformats.org/officeDocument/2006/relationships/hyperlink" Target="https://dalil.kg/document/158327" TargetMode="External"/><Relationship Id="rId8aefep0tocuqsmwc4qgmo" Type="http://schemas.openxmlformats.org/officeDocument/2006/relationships/hyperlink" Target="https://dalil.kg/document/12934" TargetMode="External"/><Relationship Id="rIdtwapkobka5w3inv4mwhjj" Type="http://schemas.openxmlformats.org/officeDocument/2006/relationships/hyperlink" Target="https://dalil.kg/document/12923" TargetMode="External"/><Relationship Id="rIduhxymtjy8idpecpykxfet" Type="http://schemas.openxmlformats.org/officeDocument/2006/relationships/hyperlink" Target="https://dalil.kg/document/96097" TargetMode="External"/><Relationship Id="rIddykvqou1inn_spco9b2kv" Type="http://schemas.openxmlformats.org/officeDocument/2006/relationships/hyperlink" Target="https://dalil.kg/document/96096" TargetMode="External"/><Relationship Id="rIde4fzpccbele4hsm-le30q" Type="http://schemas.openxmlformats.org/officeDocument/2006/relationships/hyperlink" Target="https://dalil.kg/document/111635" TargetMode="External"/><Relationship Id="rId5bckqfani6oaeex0swgfw" Type="http://schemas.openxmlformats.org/officeDocument/2006/relationships/hyperlink" Target="https://dalil.kg/document/11512" TargetMode="External"/><Relationship Id="rId-mcfagqsocd2bvoo9vfkk" Type="http://schemas.openxmlformats.org/officeDocument/2006/relationships/hyperlink" Target="https://dalil.kg/document/162" TargetMode="External"/><Relationship Id="rIdrafmyc2a72ig8wz9o6nsp" Type="http://schemas.openxmlformats.org/officeDocument/2006/relationships/hyperlink" Target="https://dalil.kg/document/11511" TargetMode="External"/><Relationship Id="rIdiit8brhgsi_4fjnun2d3y" Type="http://schemas.openxmlformats.org/officeDocument/2006/relationships/hyperlink" Target="https://dalil.kg/document/11502" TargetMode="External"/><Relationship Id="rIde5bjpe7rmvxlh3q-r5fff" Type="http://schemas.openxmlformats.org/officeDocument/2006/relationships/hyperlink" Target="https://dalil.kg/document/96552" TargetMode="External"/><Relationship Id="rIdvc_xwuqrjd47i9lwwqjw0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u2f5gq20hkiv1xunjh" Type="http://schemas.openxmlformats.org/officeDocument/2006/relationships/hyperlink" Target="https://dalil.kg/document/157876" TargetMode="External"/><Relationship Id="rIdbcypiv15z5jhd_8_eul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2026-09-24T00:33:19.513Z</dcterms:created>
  <dcterms:modified xsi:type="dcterms:W3CDTF">2026-09-24T00:33:19.513Z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