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2020 года № 625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реализации главы 61 Налогового кодекса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главы 61 Налогового кодекса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85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86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Порядок</w:t>
      </w:r>
      <w:r>
        <w:rPr>
          <w:rFonts w:ascii="Arial" w:cs="Arial" w:eastAsia="Arial" w:hAnsi="Arial"/>
          <w:sz w:val="24"/>
          <w:szCs w:val="24"/>
        </w:rPr>
        <w:t xml:space="preserve"> заполнения и представления отчета по налогу на майнинг FORM STI-163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форму</w:t>
      </w:r>
      <w:r>
        <w:rPr>
          <w:rFonts w:ascii="Arial" w:cs="Arial" w:eastAsia="Arial" w:hAnsi="Arial"/>
          <w:sz w:val="24"/>
          <w:szCs w:val="24"/>
        </w:rPr>
        <w:t xml:space="preserve"> отчета по налогу на майнинг FORM STI-163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 и Порядка по администрированию налогов" от 7 апреля 2011 года № 144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порядке налоговой регистрации налогоплательщиков в Кыргызской Республике,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61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Налогоплательщик, намеренный применять режим уплаты налога на майнинг, обязан подать заявление о его регистрации как плательщика налога на майнинг в налоговый орган по месту налоговой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Налоговый орган после принятия решения об уплате налогоплательщиком налога на майнинг обеспечивает: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информации о применении режима уплаты налога на майнинг в регистрационные сведения о налогоплательщике;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заполнение регистрационной карты налогоплательщика по форме FORM STI-025;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вручение (направление) 1 экземпляра регистрационной карты налогоплательщику.";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Положению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января 2021 года № 1 (3180)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bx7iztrcekbqfe12lp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dalil.kg/document/157902</w:t>
      </w:r>
    </w:hyperlink>
  </w:p>
  <w:p>
    <w:pPr>
      <w:spacing w:after="0" w:before="40"/>
      <w:jc w:val="center"/>
    </w:pPr>
    <w:hyperlink w:history="1" r:id="rIdanpg6k3g5bj5-xrip6t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bx7iztrcekbqfe12lpfq" Type="http://schemas.openxmlformats.org/officeDocument/2006/relationships/hyperlink" Target="https://dalil.kg/document/157902" TargetMode="External"/><Relationship Id="rIdanpg6k3g5bj5-xrip6tm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2026-09-23T19:24:07.701Z</dcterms:created>
  <dcterms:modified xsi:type="dcterms:W3CDTF">2026-09-23T19:24:07.701Z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