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 сентября 2020 года № 461</w:t>
      </w:r>
    </w:p>
    <w:p>
      <w:pPr>
        <w:spacing w:after="480" w:before="200"/>
        <w:jc w:val="center"/>
      </w:pPr>
      <w:r>
        <w:rPr>
          <w:rFonts w:ascii="Arial" w:cs="Arial" w:eastAsia="Arial" w:hAnsi="Arial"/>
          <w:b/>
          <w:bCs/>
          <w:sz w:val="28"/>
          <w:szCs w:val="28"/>
        </w:rPr>
        <w:t xml:space="preserve">О внесении изменения в постановление Правительства Кыргызской Республики "О Среднесрочном прогнозе социально-экономического развития Кыргызской Республики на 2021-2023 годы" от 24 августа 2020 года № 447</w:t>
      </w:r>
    </w:p>
    <w:p>
      <w:pPr>
        <w:spacing w:after="60"/>
        <w:ind w:firstLine="567"/>
        <w:jc w:val="both"/>
      </w:pPr>
      <w:r>
        <w:rPr>
          <w:rFonts w:ascii="Arial" w:cs="Arial" w:eastAsia="Arial" w:hAnsi="Arial"/>
          <w:sz w:val="24"/>
          <w:szCs w:val="24"/>
        </w:rPr>
        <w:t xml:space="preserve">В целях внесения уточненных количественных ориентиров и параметров макроэкономического развития на среднесрочный период, в соответствии с Бюджетным </w:t>
      </w:r>
      <w:hyperlink w:history="1" r:id="rIdf2dlfdnzffzod8gbpqmn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Законом Кыргызской Республики "О государственном прогнозировании социально-экономического развития Кыргызской Республики", статьями </w:t>
      </w:r>
      <w:hyperlink w:history="1" r:id="rIdnzpyzvslnhoe18octqcdp">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vdixktgvhbjl_iv5txti6">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y8jytlz0mqjsodqz0f3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2021-2023 годы" от 24 августа 2020 года № 447 следующее изменение:</w:t>
      </w:r>
    </w:p>
    <w:p>
      <w:pPr>
        <w:spacing w:after="60"/>
        <w:ind w:firstLine="567"/>
        <w:jc w:val="both"/>
      </w:pPr>
      <w:r>
        <w:rPr>
          <w:rFonts w:ascii="Arial" w:cs="Arial" w:eastAsia="Arial" w:hAnsi="Arial"/>
          <w:sz w:val="24"/>
          <w:szCs w:val="24"/>
        </w:rPr>
        <w:t xml:space="preserve">- </w:t>
      </w:r>
      <w:hyperlink w:history="1" r:id="rIdkcq_vaspjkckouxh8wkgk">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2021-2023 годы, утвержденный вышеуказанным </w:t>
      </w:r>
      <w:hyperlink w:history="1" r:id="rIdiknqjgzdzrw1byj63n1y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gteypnjju4neapevyn9_c">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25 сентября 2020 года № 80 (3152)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w:t>
      </w:r>
      <w:r>
        <w:rPr>
          <w:rFonts w:ascii="Arial" w:cs="Arial" w:eastAsia="Arial" w:hAnsi="Arial"/>
          <w:sz w:val="22"/>
          <w:szCs w:val="22"/>
        </w:rPr>
        <w:t xml:space="preserve">Приложение</w:t>
      </w:r>
    </w:p>
    <w:p>
      <w:pPr>
        <w:spacing w:after="400" w:before="400"/>
        <w:jc w:val="center"/>
      </w:pPr>
      <w:r>
        <w:rPr>
          <w:rFonts w:ascii="Arial" w:cs="Arial" w:eastAsia="Arial" w:hAnsi="Arial"/>
          <w:b/>
          <w:bCs/>
          <w:sz w:val="22"/>
          <w:szCs w:val="22"/>
        </w:rPr>
        <w:t xml:space="preserve">СРЕДНЕСРОЧНЫЙ ПРОГНОЗ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1. Введение</w:t>
      </w:r>
    </w:p>
    <w:p>
      <w:pPr>
        <w:spacing w:after="60"/>
        <w:ind w:firstLine="567"/>
        <w:jc w:val="both"/>
      </w:pPr>
      <w:r>
        <w:rPr>
          <w:rFonts w:ascii="Arial" w:cs="Arial" w:eastAsia="Arial" w:hAnsi="Arial"/>
          <w:sz w:val="22"/>
          <w:szCs w:val="22"/>
        </w:rPr>
        <w:t xml:space="preserve">Главной целью Среднесрочного прогноза социально-экономического развития Кыргызской Республики на 2021-2023 годы (далее - Среднесрочный прогноз социально-экономического развития) является определение количественных ориентиров и мер социально-экономической политики на среднесрочный период путем анализа социально-экономических процессов и тенденций, выявления имеющихся ресурсов и возможных факторов риска развития экономики страны.</w:t>
      </w:r>
    </w:p>
    <w:p>
      <w:pPr>
        <w:spacing w:after="60"/>
        <w:ind w:firstLine="567"/>
        <w:jc w:val="both"/>
      </w:pPr>
      <w:r>
        <w:rPr>
          <w:rFonts w:ascii="Arial" w:cs="Arial" w:eastAsia="Arial" w:hAnsi="Arial"/>
          <w:sz w:val="22"/>
          <w:szCs w:val="22"/>
        </w:rPr>
        <w:t xml:space="preserve">В Среднесрочном прогнозе определены основные направления развития ключевых отраслей экономики на 2021 год, включая детализированное описание их прогнозных значений, и перспективы развития экономики страны на 2022-2023 годы, построенные на базе официальных прогнозов отраслевых министерств, государственных комитетов, административных ведомств, регионов.</w:t>
      </w:r>
    </w:p>
    <w:p>
      <w:pPr>
        <w:spacing w:after="60"/>
        <w:ind w:firstLine="567"/>
        <w:jc w:val="both"/>
      </w:pPr>
      <w:r>
        <w:rPr>
          <w:rFonts w:ascii="Arial" w:cs="Arial" w:eastAsia="Arial" w:hAnsi="Arial"/>
          <w:sz w:val="22"/>
          <w:szCs w:val="22"/>
        </w:rPr>
        <w:t xml:space="preserve">Среднесрочный прогноз социально-экономического развития является основой для разработки проекта Основных направлений фискальной политики Кыргызской Республики на 2021-2023 годы.</w:t>
      </w:r>
    </w:p>
    <w:p>
      <w:pPr>
        <w:spacing w:after="200" w:before="200"/>
        <w:jc w:val="center"/>
      </w:pPr>
      <w:r>
        <w:rPr>
          <w:rFonts w:ascii="Arial" w:cs="Arial" w:eastAsia="Arial" w:hAnsi="Arial"/>
          <w:b/>
          <w:bCs/>
          <w:sz w:val="22"/>
          <w:szCs w:val="22"/>
        </w:rPr>
        <w:t xml:space="preserve">2. Основные тенденции социально-экономического развития Кыргызской Республики к 2019 году и в I полугодии 2020 года</w:t>
      </w:r>
    </w:p>
    <w:p>
      <w:pPr>
        <w:spacing w:after="60"/>
        <w:ind w:firstLine="567"/>
        <w:jc w:val="both"/>
      </w:pPr>
      <w:r>
        <w:rPr>
          <w:rFonts w:ascii="Arial" w:cs="Arial" w:eastAsia="Arial" w:hAnsi="Arial"/>
          <w:sz w:val="22"/>
          <w:szCs w:val="22"/>
        </w:rPr>
        <w:t xml:space="preserve">В 2019 году на фоне отсутствия значимых внешних и внутренних дестабилизирующих явлений проведение макроэкономической политики было сосредоточено в основном на обеспечении положительной динамики экономического роста и удержании уровня инфляции в пределах целевого ориентира.</w:t>
      </w:r>
    </w:p>
    <w:p>
      <w:pPr>
        <w:spacing w:after="60"/>
        <w:ind w:firstLine="567"/>
        <w:jc w:val="both"/>
      </w:pPr>
      <w:r>
        <w:rPr>
          <w:rFonts w:ascii="Arial" w:cs="Arial" w:eastAsia="Arial" w:hAnsi="Arial"/>
          <w:sz w:val="22"/>
          <w:szCs w:val="22"/>
        </w:rPr>
        <w:t xml:space="preserve">2019 год для фондовых рынков, несмотря на сложные торговые переговоры США и Китая, стал неожиданно позитивным, наблюдалось сохранение санкционного давления на Российскую Федерацию, ключевые ставки, в целом, плавно снижались, валюты демонстрировали умеренную волатильность. В условиях замедления мировой торговли, на фоне проведения протекционистской внешнеторговой политики ("торговых войн"), расширения антироссийских санкций, рост мировой экономики замедлился с 3,6% до 2,9% (смотреть график 1).</w:t>
      </w:r>
    </w:p>
    <w:p>
      <w:pPr>
        <w:spacing w:after="60"/>
        <w:ind w:firstLine="567"/>
        <w:jc w:val="both"/>
      </w:pPr>
      <w:r>
        <w:rPr>
          <w:rFonts w:ascii="Arial" w:cs="Arial" w:eastAsia="Arial" w:hAnsi="Arial"/>
          <w:sz w:val="22"/>
          <w:szCs w:val="22"/>
        </w:rPr>
        <w:t xml:space="preserve">Экономический рост за 2019 год в государствах - членах Евразийского экономического союза (далее - ЕАЭС) сложился следующим образом: в Российской Федерации прирост составил 1,3%, Республике Беларусь - 1,2%, Республике Казахстан - 4,5%, Республике Армения - 7,5%. Политика национальных (центральных) банков государств - членов ЕАЭС была нацелена на поддержание показателей инфляции вблизи либо в пределах национальных среднесрочных ориентиров, что способствовало соблюдению практически всеми государствами - членами предельного расчетного количественного значения показателя инфляции: в Российской Федерации - 3,0%, Республике Беларусь - 4,7%, Республике Казахстан - 5,4%, Республика Армения - 0,7%.</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График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Темпы прироста ВВП мировой экономики и
 государств - членов ЕАЭС, в %(1)</w:t>
      </w:r>
    </w:p>
    <w:p>
      <w:pPr>
        <w:spacing w:after="200" w:before="200"/>
        <w:ind w:firstLine="567"/>
        <w:jc w:val="both"/>
      </w:pPr>
      <w:r>
        <w:rPr>
          <w:rFonts w:ascii="Arial" w:cs="Arial" w:eastAsia="Arial" w:hAnsi="Arial"/>
          <w:b/>
          <w:bCs/>
          <w:sz w:val="22"/>
          <w:szCs w:val="22"/>
        </w:rPr>
        <w:t xml:space="preserve">Рисунок.</w:t>
      </w:r>
    </w:p>
    <w:p>
      <w:pPr>
        <w:spacing w:after="60"/>
        <w:ind w:firstLine="567"/>
        <w:jc w:val="both"/>
      </w:pPr>
      <w:r>
        <w:rPr>
          <w:rFonts w:ascii="Arial" w:cs="Arial" w:eastAsia="Arial" w:hAnsi="Arial"/>
          <w:sz w:val="22"/>
          <w:szCs w:val="22"/>
        </w:rPr>
        <w:t xml:space="preserve">Главным результатом для национальной экономики в 2019 году стало удержание положительной динамики роста и достижение прогнозируемого уровня по росту экономики. В 2019 году обеспечена макроэкономическая и социальная стабильность в стране.</w:t>
      </w:r>
    </w:p>
    <w:p>
      <w:pPr>
        <w:spacing w:after="60"/>
        <w:ind w:firstLine="567"/>
        <w:jc w:val="both"/>
      </w:pPr>
      <w:r>
        <w:rPr>
          <w:rFonts w:ascii="Arial" w:cs="Arial" w:eastAsia="Arial" w:hAnsi="Arial"/>
          <w:sz w:val="22"/>
          <w:szCs w:val="22"/>
        </w:rPr>
        <w:t xml:space="preserve">По итогам 2019 года объем валового внутреннего продукта, согласно предварительной оценке Национального статистического комитета Кыргызской Республики, сложился в сумме 590,0 млрд. сомов, и реальный темп прироста ВВП составил 4,5%, без учета предприятий по разработке месторождения Кумтор темп прироста составил 3,8%.</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График 2</w:t>
      </w:r>
    </w:p>
    <w:p>
      <w:pPr>
        <w:spacing w:after="60"/>
        <w:ind w:firstLine="567"/>
        <w:jc w:val="right"/>
      </w:pPr>
      <w:r>
        <w:rPr>
          <w:rFonts w:ascii="Arial" w:cs="Arial" w:eastAsia="Arial" w:hAnsi="Arial"/>
          <w:sz w:val="24"/>
          <w:szCs w:val="24"/>
        </w:rPr>
        <w:t xml:space="preserve"/>
      </w:r>
    </w:p>
    <w:p>
      <w:pPr>
        <w:spacing w:after="200" w:before="200"/>
        <w:ind w:firstLine="567"/>
        <w:jc w:val="both"/>
      </w:pPr>
      <w:r>
        <w:rPr>
          <w:rFonts w:ascii="Arial" w:cs="Arial" w:eastAsia="Arial" w:hAnsi="Arial"/>
          <w:b/>
          <w:bCs/>
          <w:sz w:val="22"/>
          <w:szCs w:val="22"/>
        </w:rPr>
        <w:t xml:space="preserve">Рисунок.</w:t>
      </w:r>
    </w:p>
    <w:p>
      <w:pPr>
        <w:spacing w:after="60"/>
        <w:ind w:firstLine="567"/>
        <w:jc w:val="both"/>
      </w:pPr>
      <w:r>
        <w:rPr>
          <w:rFonts w:ascii="Arial" w:cs="Arial" w:eastAsia="Arial" w:hAnsi="Arial"/>
          <w:sz w:val="22"/>
          <w:szCs w:val="22"/>
        </w:rPr>
        <w:t xml:space="preserve">Экономический рост обеспечен всеми секторами экономики: в сельском хозяйстве объемы реально возросли на 2,6%, строительстве - на 10,6%, промышленности - на 6,9%, сфере услуг - на 2,9%.</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Темпы прироста ВВП Кыргызской Республики
 и отраслей, формирующих ВВП,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8"/>
        <w:gridCol w:w="1118"/>
        <w:gridCol w:w="1118"/>
        <w:gridCol w:w="1118"/>
        <w:gridCol w:w="1141"/>
        <w:gridCol w:w="1141"/>
        <w:gridCol w:w="1141"/>
        <w:gridCol w:w="1141"/>
      </w:tblGrid>
      <w:tr>
        <w:tc>
          <w:tcPr>
            <w:tcW w:type="dxa" w:w="22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335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год, факт</w:t>
            </w:r>
          </w:p>
        </w:tc>
        <w:tc>
          <w:tcPr>
            <w:tcW w:type="dxa" w:w="45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 предв. факт</w:t>
            </w:r>
          </w:p>
        </w:tc>
      </w:tr>
      <w:tr>
        <w:tc>
          <w:tcPr>
            <w:vMerge w:val="continue"/>
            <w:tcBorders>
              <w:top w:val="single" w:color="CBBF9E" w:sz="4"/>
              <w:left w:val="single" w:color="CBBF9E" w:sz="4"/>
              <w:bottom w:val="single" w:color="CBBF9E" w:sz="4"/>
              <w:right w:val="single" w:color="CBBF9E" w:sz="4"/>
            </w:tcBorders>
          </w:tcP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569385,6</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105072,2</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105409,8</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66477,4</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71335,2</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0,30</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51386,5</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57479,3</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0,96</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265883,3</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46,6</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276797,7</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80566,2</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79020,4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0,64</w:t>
            </w:r>
          </w:p>
        </w:tc>
      </w:tr>
    </w:tbl>
    <w:p>
      <w:pPr>
        <w:spacing w:after="60" w:before="120"/>
        <w:ind w:firstLine="567"/>
        <w:jc w:val="both"/>
      </w:pPr>
      <w:r>
        <w:rPr>
          <w:rFonts w:ascii="Arial" w:cs="Arial" w:eastAsia="Arial" w:hAnsi="Arial"/>
          <w:sz w:val="22"/>
          <w:szCs w:val="22"/>
        </w:rPr>
        <w:t xml:space="preserve">В течение 2019 года действия Правительства Кыргызской Республики были направлены на своевременную и качественную реализацию Плана мероприятий Правительства Кыргызской Республики на 2019-2023 годы по реализации Программы Правительства Кыргызской Республики "Единство. Доверие. Созидание"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29 марта 2019 года № 140).</w:t>
      </w:r>
    </w:p>
    <w:p>
      <w:pPr>
        <w:spacing w:after="60"/>
        <w:ind w:firstLine="567"/>
        <w:jc w:val="both"/>
      </w:pPr>
      <w:r>
        <w:rPr>
          <w:rFonts w:ascii="Arial" w:cs="Arial" w:eastAsia="Arial" w:hAnsi="Arial"/>
          <w:sz w:val="22"/>
          <w:szCs w:val="22"/>
        </w:rPr>
        <w:t xml:space="preserve">В результате проведения скоординированной денежно-кредитной и налогово-бюджетной политик уровень инфляции в Кыргызской Республике в течение всего 2019 года не превышал целевых среднесрочных ориентиров денежно-кредитной политики в 5-7%. Индекс потребительских цен составил 103,1% (декабрь 2019 года к декабрю предыдущего года). Среднегодовое значение инфляции (январь-декабрь 2019 года к январю-декабрю 2018 года) составило 101,1%.</w:t>
      </w:r>
    </w:p>
    <w:p>
      <w:pPr>
        <w:spacing w:after="60"/>
        <w:ind w:firstLine="567"/>
        <w:jc w:val="both"/>
      </w:pPr>
      <w:r>
        <w:rPr>
          <w:rFonts w:ascii="Arial" w:cs="Arial" w:eastAsia="Arial" w:hAnsi="Arial"/>
          <w:sz w:val="22"/>
          <w:szCs w:val="22"/>
        </w:rPr>
        <w:t xml:space="preserve">Проводимые мероприятия в области налогово-бюджетной политики способствовали удержанию размера дефицита государственного бюджета на уровне, не превышающем целевой ориентир в 3% (за 2019 год - 0,1%). На протяжении последних лет наблюдается тенденция постепенного снижения уровня государственного долга, который, по состоянию на 31 декабря 2019 года, составил 54,1% к ВВП.</w:t>
      </w:r>
    </w:p>
    <w:p>
      <w:pPr>
        <w:spacing w:after="60"/>
        <w:ind w:firstLine="567"/>
        <w:jc w:val="both"/>
      </w:pPr>
      <w:r>
        <w:rPr>
          <w:rFonts w:ascii="Arial" w:cs="Arial" w:eastAsia="Arial" w:hAnsi="Arial"/>
          <w:sz w:val="22"/>
          <w:szCs w:val="22"/>
        </w:rPr>
        <w:t xml:space="preserve">Уровень "долларизации" депозитов банковского сектора понизился с 43,9% до 38,2%, уровень "долларизации" кредитного портфеля банковского сектора понизился с начала года с 37,9% до 35,1% на конец 2019 года.</w:t>
      </w:r>
    </w:p>
    <w:p>
      <w:pPr>
        <w:spacing w:after="60"/>
        <w:ind w:firstLine="567"/>
        <w:jc w:val="both"/>
      </w:pPr>
      <w:r>
        <w:rPr>
          <w:rFonts w:ascii="Arial" w:cs="Arial" w:eastAsia="Arial" w:hAnsi="Arial"/>
          <w:sz w:val="22"/>
          <w:szCs w:val="22"/>
        </w:rPr>
        <w:t xml:space="preserve">Уровень безналичных расчетов составил 47,2% за 2019 год (45,1% - за 2018 год).</w:t>
      </w:r>
    </w:p>
    <w:p>
      <w:pPr>
        <w:spacing w:after="60"/>
        <w:ind w:firstLine="567"/>
        <w:jc w:val="both"/>
      </w:pPr>
      <w:r>
        <w:rPr>
          <w:rFonts w:ascii="Arial" w:cs="Arial" w:eastAsia="Arial" w:hAnsi="Arial"/>
          <w:sz w:val="22"/>
          <w:szCs w:val="22"/>
        </w:rPr>
        <w:t xml:space="preserve">Кредит в экономику(2) (на конец декабря 2019 года) составил 150,0 млрд. сомов, увеличившись с начала 2019 года на 14,9%.</w:t>
      </w:r>
    </w:p>
    <w:p>
      <w:pPr>
        <w:spacing w:after="60"/>
        <w:ind w:firstLine="567"/>
        <w:jc w:val="both"/>
      </w:pPr>
      <w:r>
        <w:rPr>
          <w:rFonts w:ascii="Arial" w:cs="Arial" w:eastAsia="Arial" w:hAnsi="Arial"/>
          <w:sz w:val="22"/>
          <w:szCs w:val="22"/>
        </w:rPr>
        <w:t xml:space="preserve">Положительная динамика макроэкономических показателей позволила Правительству Кыргызской Республики (далее - Правительство) обеспечить своевременное выполнение всех запланированных обязательств государства в области социальной защиты и пенсионного обеспечения.</w:t>
      </w:r>
    </w:p>
    <w:p>
      <w:pPr>
        <w:spacing w:after="60"/>
        <w:ind w:firstLine="567"/>
        <w:jc w:val="both"/>
      </w:pPr>
      <w:r>
        <w:rPr>
          <w:rFonts w:ascii="Arial" w:cs="Arial" w:eastAsia="Arial" w:hAnsi="Arial"/>
          <w:sz w:val="22"/>
          <w:szCs w:val="22"/>
        </w:rPr>
        <w:t xml:space="preserve">Средний размер пенсии, по сравнению с 2018 годом, увеличился на 2,1% и составил 5786,0 сомов (на 1 января 2020 года). Произведена индексация базовой части пенсии на 5,0%, для лиц, общий размер пенсий которых не достигает уровня прожиточного минимума пенсионера, индексация размеров страховых частей пенсий - на 1,05.</w:t>
      </w:r>
    </w:p>
    <w:p>
      <w:pPr>
        <w:spacing w:after="60"/>
        <w:ind w:firstLine="567"/>
        <w:jc w:val="both"/>
      </w:pPr>
      <w:r>
        <w:rPr>
          <w:rFonts w:ascii="Arial" w:cs="Arial" w:eastAsia="Arial" w:hAnsi="Arial"/>
          <w:sz w:val="22"/>
          <w:szCs w:val="22"/>
        </w:rPr>
        <w:t xml:space="preserve">Среднемесячная номинальная заработная плата одного работника (без учета малых предприятий) составила 17232 сома и, по сравнению с 2018 годом, увеличилась на 4,9%, а ее реальный размер, исчисленный с учетом индекса потребительских цен, возрос на 3,8%.</w:t>
      </w:r>
    </w:p>
    <w:p>
      <w:pPr>
        <w:spacing w:after="60"/>
        <w:ind w:firstLine="567"/>
        <w:jc w:val="both"/>
      </w:pPr>
      <w:r>
        <w:rPr>
          <w:rFonts w:ascii="Arial" w:cs="Arial" w:eastAsia="Arial" w:hAnsi="Arial"/>
          <w:sz w:val="22"/>
          <w:szCs w:val="22"/>
        </w:rPr>
        <w:t xml:space="preserve">С наступлением 2020 года мощнейшим шоком для мирового сообщества стала пандемия COVID-19, распространение которой привело к резкому спаду в экономиках многих стран мира. Из-за карантинных мер, частичной или полной приостановки производств и услуг мировая экономика оказалась в рецессии. Большинство опережающих индикаторов достигли наименьших значений в марте-апреле. В мае-июне деловая активность продолжила снижаться, индекс деловой активности в мире упал до исторических минимумов. В мире наблюдалась самая высокая безработица за десятилетия, самые низкие ожидания на будущее у потребителей.</w:t>
      </w:r>
    </w:p>
    <w:p>
      <w:pPr>
        <w:spacing w:after="60"/>
        <w:ind w:firstLine="567"/>
        <w:jc w:val="both"/>
      </w:pPr>
      <w:r>
        <w:rPr>
          <w:rFonts w:ascii="Arial" w:cs="Arial" w:eastAsia="Arial" w:hAnsi="Arial"/>
          <w:sz w:val="22"/>
          <w:szCs w:val="22"/>
        </w:rPr>
        <w:t xml:space="preserve">Результаты социально-экономического развития Кыргызской Республики за I полугодие 2020 года продемонстрировали, как и ожидалось в целом, отрицательный тренд экономического роста. С апреля месяца 2020 года пандемия COVID-19 спровоцировала спад в экономике (в январе-марте 2020 года реальный рост составлял 101,5%), принятие Правительством необходимых мер по сдерживанию распространения коронавирусной инфекции привело к стремительному сжатию экономической активности.</w:t>
      </w:r>
    </w:p>
    <w:p>
      <w:pPr>
        <w:spacing w:after="60"/>
        <w:ind w:firstLine="567"/>
        <w:jc w:val="both"/>
      </w:pPr>
      <w:r>
        <w:rPr>
          <w:rFonts w:ascii="Arial" w:cs="Arial" w:eastAsia="Arial" w:hAnsi="Arial"/>
          <w:sz w:val="22"/>
          <w:szCs w:val="22"/>
        </w:rPr>
        <w:t xml:space="preserve">По предварительной оценке Национального статистического комитета Кыргызской Республики, за январь-июнь 2020 года объем валового внутреннего продукта сложился в сумме 228,3 млрд. сомов и, по сравнению с соответствующим периодом 2019 года, снизился на 5,3% (реальный темп роста составил 94,7%), без учета предприятий по разработке месторождения Кумтор снизился на 6,9% (реальный темп роста составил 93,1%).</w:t>
      </w:r>
    </w:p>
    <w:p>
      <w:pPr>
        <w:spacing w:after="60"/>
        <w:ind w:firstLine="567"/>
        <w:jc w:val="both"/>
      </w:pPr>
      <w:r>
        <w:rPr>
          <w:rFonts w:ascii="Arial" w:cs="Arial" w:eastAsia="Arial" w:hAnsi="Arial"/>
          <w:sz w:val="22"/>
          <w:szCs w:val="22"/>
        </w:rPr>
        <w:t xml:space="preserve">Экономический рост обеспечен следующими секторами экономики: в сельском хозяйстве объемы реально возросли на 1,6%, промышленности на 0,1%; а в строительстве темп роста снизился на 9,1% и сфере услуг - на 8,2%.</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2"/>
          <w:szCs w:val="22"/>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Структура и темпы роста по секторам, формирующим ВВП(3)</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4"/>
        <w:gridCol w:w="1094"/>
        <w:gridCol w:w="1094"/>
        <w:gridCol w:w="1094"/>
        <w:gridCol w:w="1133"/>
        <w:gridCol w:w="1133"/>
        <w:gridCol w:w="1133"/>
        <w:gridCol w:w="1133"/>
      </w:tblGrid>
      <w:tr>
        <w:tc>
          <w:tcPr>
            <w:tcW w:type="dxa" w:w="2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328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Январь-июнь 2019 года,
 предв. факт</w:t>
            </w:r>
          </w:p>
        </w:tc>
        <w:tc>
          <w:tcPr>
            <w:tcW w:type="dxa" w:w="45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Январь-июнь 2020 года,
 предв. факт</w:t>
            </w:r>
          </w:p>
        </w:tc>
      </w:tr>
      <w:tr>
        <w:tc>
          <w:tcPr>
            <w:vMerge w:val="continue"/>
            <w:tcBorders>
              <w:top w:val="single" w:color="CBBF9E" w:sz="4"/>
              <w:left w:val="single" w:color="CBBF9E" w:sz="4"/>
              <w:bottom w:val="single" w:color="CBBF9E" w:sz="4"/>
              <w:right w:val="single" w:color="CBBF9E" w:sz="4"/>
            </w:tcBorders>
          </w:tcP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234713,8</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228300,7</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48297,1</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57658,5</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0,02</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20209,7</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71385,0</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0,14</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15860,5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14584,9</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-0,62</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114318,2</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109271,2</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91,8</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47,9</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36028,3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25401,1</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-0,81</w:t>
            </w:r>
          </w:p>
        </w:tc>
      </w:tr>
    </w:tbl>
    <w:p>
      <w:pPr>
        <w:spacing w:after="60" w:before="120"/>
        <w:ind w:firstLine="567"/>
        <w:jc w:val="both"/>
      </w:pPr>
      <w:r>
        <w:rPr>
          <w:rFonts w:ascii="Arial" w:cs="Arial" w:eastAsia="Arial" w:hAnsi="Arial"/>
          <w:sz w:val="22"/>
          <w:szCs w:val="22"/>
        </w:rPr>
        <w:t xml:space="preserve">Внешнеторговый оборот Кыргызской Республики за январь-июнь 2020 года составил 2557,4 млн. долл. США и по сравнению с соответствующим периодом прошлого года сократился на 22,4%. Объем взаимной торговли республики с государствами-членами Евразийского экономического союза в январе-июне 2020 года составил 1054,8 млн. долл. США и по сравнению с январем-июнем 2019 года сократился на 17,3%.</w:t>
      </w:r>
    </w:p>
    <w:p>
      <w:pPr>
        <w:spacing w:after="60"/>
        <w:ind w:firstLine="567"/>
        <w:jc w:val="both"/>
      </w:pPr>
      <w:r>
        <w:rPr>
          <w:rFonts w:ascii="Arial" w:cs="Arial" w:eastAsia="Arial" w:hAnsi="Arial"/>
          <w:sz w:val="22"/>
          <w:szCs w:val="22"/>
        </w:rPr>
        <w:t xml:space="preserve">За январь-июнь 2020 года валовый объем притока денежных переводов снизился на 13,2% по сравнению с соответствующим периодом 2019 года и, соответственно, повлиял на сокращение оптовой и розничной торговли (на 15%), частного потребления и объемов жилищного строительства.</w:t>
      </w:r>
    </w:p>
    <w:p>
      <w:pPr>
        <w:spacing w:after="60"/>
        <w:ind w:firstLine="567"/>
        <w:jc w:val="both"/>
      </w:pPr>
      <w:r>
        <w:rPr>
          <w:rFonts w:ascii="Arial" w:cs="Arial" w:eastAsia="Arial" w:hAnsi="Arial"/>
          <w:sz w:val="22"/>
          <w:szCs w:val="22"/>
        </w:rPr>
        <w:t xml:space="preserve">Основными факторами, приведшими к сокращению объемов производства и экспортно-импортных операций, соответственно, потребительского спроса на товары, явились экономические последствия пандемии COVID-19, приведшие к экономическому спаду в странах - основных торговых партнерах; снижение реальных доходов и введенные меры в странах - основных торговых партнерах (снижение экономического роста по сравнению с I полугодием 2019 года в Российской Федерации на 4,2%, Республике Беларусь - на 1,7%, Республике Казахстан - на 1,8%, Республике Армения - на 12,8%(4), Китае - на 1,6%).</w:t>
      </w:r>
    </w:p>
    <w:p>
      <w:pPr>
        <w:spacing w:after="60"/>
        <w:ind w:firstLine="567"/>
        <w:jc w:val="both"/>
      </w:pPr>
      <w:r>
        <w:rPr>
          <w:rFonts w:ascii="Arial" w:cs="Arial" w:eastAsia="Arial" w:hAnsi="Arial"/>
          <w:sz w:val="22"/>
          <w:szCs w:val="22"/>
        </w:rPr>
        <w:t xml:space="preserve">В 2020 году в условиях возникновения новых непредсказуемых вызовов - пандемии COVID-19 Правительство Кыргызской Республики совместно с Национальным банком Кыргызской Республики предпринимает фискальные и финансовые меры поддержки и стимулирования экономики, которые соответственно приводят к понижательному давлению на доходные составляющие бюджета, что ведет к увеличению бюджетных дефицитов.</w:t>
      </w:r>
    </w:p>
    <w:p>
      <w:pPr>
        <w:spacing w:after="60"/>
        <w:ind w:firstLine="567"/>
        <w:jc w:val="both"/>
      </w:pPr>
      <w:r>
        <w:rPr>
          <w:rFonts w:ascii="Arial" w:cs="Arial" w:eastAsia="Arial" w:hAnsi="Arial"/>
          <w:sz w:val="22"/>
          <w:szCs w:val="22"/>
        </w:rPr>
        <w:t xml:space="preserve">Общий объем доходов государственного бюджета, по предварительным данным, за январь-июнь 2020 года составил 60,3 млрд. сомов или 81,6% от установленного планового показателя, из них доходы республиканского бюджета составили 52,5 млрд. сомов или 81,6% от установленного планового показателя, размер дефицита республиканского бюджета, по предварительным данным, за январь-июнь 2020 года сложился на уровне 7,7% к ВВП, или в сумме 17,7 млрд. сомов.</w:t>
      </w:r>
    </w:p>
    <w:p>
      <w:pPr>
        <w:spacing w:after="200" w:before="200"/>
        <w:jc w:val="center"/>
      </w:pPr>
      <w:r>
        <w:rPr>
          <w:rFonts w:ascii="Arial" w:cs="Arial" w:eastAsia="Arial" w:hAnsi="Arial"/>
          <w:b/>
          <w:bCs/>
          <w:sz w:val="22"/>
          <w:szCs w:val="22"/>
        </w:rPr>
        <w:t xml:space="preserve">3. Перспективы развития мировой экономики и государств - членов ЕАЭС. Динамика основных мировых товарных рынков (золото, нефть)</w:t>
      </w:r>
    </w:p>
    <w:p>
      <w:pPr>
        <w:spacing w:after="60"/>
        <w:ind w:firstLine="567"/>
        <w:jc w:val="both"/>
      </w:pPr>
      <w:r>
        <w:rPr>
          <w:rFonts w:ascii="Arial" w:cs="Arial" w:eastAsia="Arial" w:hAnsi="Arial"/>
          <w:sz w:val="22"/>
          <w:szCs w:val="22"/>
        </w:rPr>
        <w:t xml:space="preserve">С наступлением 2020 года ситуация в мировой экономике резко ухудшилась. Принятие большинством стран мира необходимых мер по сдерживанию распространения коронавирусной инфекции привело к стремительному снижению экономической активности, обвалу мировых финансовых рынков, возникновению проблем с перевозками грузов и пассажиров, ограничению мировой торговли и разрушению межстрановых цепочек добавленной стоимости. Новый вирус разрушил иллюзию устойчивости глобального мира, который казался таким прочным. В считанные дни остановилось свободное перемещение людей, товаров и капитала по всему миру. Снижение экономической активности привело к существенному сокращению внешнего спроса.</w:t>
      </w:r>
    </w:p>
    <w:p>
      <w:pPr>
        <w:spacing w:after="60"/>
        <w:ind w:firstLine="567"/>
        <w:jc w:val="both"/>
      </w:pPr>
      <w:r>
        <w:rPr>
          <w:rFonts w:ascii="Arial" w:cs="Arial" w:eastAsia="Arial" w:hAnsi="Arial"/>
          <w:sz w:val="22"/>
          <w:szCs w:val="22"/>
        </w:rPr>
        <w:t xml:space="preserve">Мировая экономика из-за распространения пандемии коронавируса вошла в затяжную рецессию, которая, по оценкам МВФ, ожидается более глубокой, чем предыдущий кризис 2008-2009 годов, когда снижение мировой экономики составило 1,7%. Экстраординарность сложившейся ситуации подтверждается заявлением МВФ, что более 80 развивающихся стран запросили у фонда финансовую помощь на общую сумму 2,5 трлн. долларов США.</w:t>
      </w:r>
    </w:p>
    <w:p>
      <w:pPr>
        <w:spacing w:after="60"/>
        <w:ind w:firstLine="567"/>
        <w:jc w:val="both"/>
      </w:pPr>
      <w:r>
        <w:rPr>
          <w:rFonts w:ascii="Arial" w:cs="Arial" w:eastAsia="Arial" w:hAnsi="Arial"/>
          <w:sz w:val="22"/>
          <w:szCs w:val="22"/>
        </w:rPr>
        <w:t xml:space="preserve">Почти все финансовые институты в июньском обзоре еще раз ухудшили прогноз падения мировой экономики в 2020 году, в частности МВФ ухудшил еще на 1,9 процентных пункта и прогнозирует падение мировой экономики до (-)4,9% в 2020 году (в апреле фонд прогнозировал падение глобального ВВП на уровне (-)3%), где основной причиной ухудшения прогноза является экономические последствия пандемии COVID-19 в первой половине 2020 года, которые оказались более негативными, чем предполагалось ранее. В МВФ считают, что восстановление будет более постепенным, чем прогнозировалось ранее.</w:t>
      </w:r>
    </w:p>
    <w:p>
      <w:pPr>
        <w:spacing w:after="60"/>
        <w:ind w:firstLine="567"/>
        <w:jc w:val="both"/>
      </w:pPr>
      <w:r>
        <w:rPr>
          <w:rFonts w:ascii="Arial" w:cs="Arial" w:eastAsia="Arial" w:hAnsi="Arial"/>
          <w:sz w:val="22"/>
          <w:szCs w:val="22"/>
        </w:rPr>
        <w:t xml:space="preserve">Исходя из предположения, что пандемия завершится во второй половине 2020 года, а меры, предпринимаемые странами по всему миру, окажутся эффективными для предотвращения массового банкротства фирм, продолжительной безработицы и глобальных финансовых проблем, и 2021 году мировой рост прогнозируется на уровне 5,4%. Как следствие, в целом в 2021 году ВВП будет примерно на 6½ процентного пункта ниже, чем в прогнозах от января 2020 года, до начала пандемии COVID-19.</w:t>
      </w:r>
    </w:p>
    <w:p>
      <w:pPr>
        <w:spacing w:after="60"/>
        <w:ind w:firstLine="567"/>
        <w:jc w:val="both"/>
      </w:pPr>
      <w:r>
        <w:rPr>
          <w:rFonts w:ascii="Arial" w:cs="Arial" w:eastAsia="Arial" w:hAnsi="Arial"/>
          <w:sz w:val="22"/>
          <w:szCs w:val="22"/>
        </w:rPr>
        <w:t xml:space="preserve">Также ВБ в июньском обзоре "Перспективы мировой экономики" ожидает сокращение мирового ВВП по итогам 2020 года на 5,2%. В январском обзоре ВБ прогнозировал рост мировой экономики на 2,5% в 2020 году, таким образом, в июне прогноз был ухудшен сразу на 7,7 процентного пункта (п.п.). Согласно базовому сценарию, если спад пандемии будет достаточным для отмены национальных мер по ее смягчению в странах с развитой экономикой к середине года, а в СФРРС - немного позже, неблагоприятные глобальные последствия сгладятся во втором полугодии, а сбои на финансовых рынках не будут продолжительными, и в этом случае прогнозируется, что в 2021 году рост мировой экономики оживится и достигнет 4,2%.</w:t>
      </w:r>
    </w:p>
    <w:p>
      <w:pPr>
        <w:spacing w:after="60"/>
        <w:ind w:firstLine="567"/>
        <w:jc w:val="both"/>
      </w:pPr>
      <w:r>
        <w:rPr>
          <w:rFonts w:ascii="Arial" w:cs="Arial" w:eastAsia="Arial" w:hAnsi="Arial"/>
          <w:sz w:val="22"/>
          <w:szCs w:val="22"/>
        </w:rPr>
        <w:t xml:space="preserve">Из-за пандемии COVID-19 ожидается, что глобальная экономика потеряет 12,5 трлн. долл. США в 2020 году.</w:t>
      </w:r>
    </w:p>
    <w:p>
      <w:pPr>
        <w:spacing w:after="60"/>
        <w:ind w:firstLine="567"/>
        <w:jc w:val="both"/>
      </w:pPr>
      <w:r>
        <w:rPr>
          <w:rFonts w:ascii="Arial" w:cs="Arial" w:eastAsia="Arial" w:hAnsi="Arial"/>
          <w:sz w:val="22"/>
          <w:szCs w:val="22"/>
        </w:rPr>
        <w:t xml:space="preserve">По апрельским оценкам ВТО, падение мировой торговли товарами в 2020 году должно было составить от 13 до 32%. 23 июня 2020 года Секретариат ВТО опубликовал пресс-релиз с обновленными оценками динамики мировой торговли в первом полугодии 2020 года. Пессимистичный прогноз, представленный организацией в апреле (-32%), не реализовался. Текущая динамика более близка к оптимистичному сценарию (-13%), где причиной главным образом явилась быстрая реакция ряда крупных стран, выделивших масштабные средства на стимулирование экономики. В то же время перспективы на 2021 год остаются неопределенными в связи с тем, что восстановление мирового ВВП может происходить медленнее, чем прогнозировалось. По данным Секретариата, торговля товарами в первом квартале 2020 года упала на 3% по сравнению с аналогичным периодом 2019 года. Во втором квартале падение ожидается на уровне 18,5%. Такие темпы квартального падения будут самыми высокими за всю историю ГАТТ/ВТО. Представлены 2 сценария динамики мировой торговли в 2021 году: в случае медленных темпов восстановления мирового ВВП торговля вырастет только на 5% и будет находиться на значительно более низком, по сравнению с докоронавирусной траекторией, уровне. В числе определяющих такую динамику потенциальных факторов: вторая волна пандемии; более низкие, по сравнению с предыдущими прогнозами, темпы роста ВВП; торговые барьеры. В соответствии со вторым сценарием прогнозируется восстановление торговли до докризисных значений, однако для этого ее прирост в 2021 году должен составить порядка 20%.</w:t>
      </w:r>
    </w:p>
    <w:p>
      <w:pPr>
        <w:spacing w:after="60"/>
        <w:ind w:firstLine="567"/>
        <w:jc w:val="both"/>
      </w:pPr>
      <w:r>
        <w:rPr>
          <w:rFonts w:ascii="Arial" w:cs="Arial" w:eastAsia="Arial" w:hAnsi="Arial"/>
          <w:b/>
          <w:bCs/>
          <w:sz w:val="22"/>
          <w:szCs w:val="22"/>
        </w:rPr>
        <w:t xml:space="preserve">Еврозона.</w:t>
      </w:r>
      <w:r>
        <w:rPr>
          <w:rFonts w:ascii="Arial" w:cs="Arial" w:eastAsia="Arial" w:hAnsi="Arial"/>
          <w:sz w:val="22"/>
          <w:szCs w:val="22"/>
        </w:rPr>
        <w:t xml:space="preserve"> По оценкам МВФ, экономика еврозоны на 2020 год может снизиться до семилетнего минимума, и в июньском обзоре МВФ ухудшил прогноз по итогам 2020 года на 2,7 п.п. до (-)10,2%, а на 2021 год прогнозирует рост ВВП на 6%.</w:t>
      </w:r>
    </w:p>
    <w:p>
      <w:pPr>
        <w:spacing w:after="60"/>
        <w:ind w:firstLine="567"/>
        <w:jc w:val="both"/>
      </w:pPr>
      <w:r>
        <w:rPr>
          <w:rFonts w:ascii="Arial" w:cs="Arial" w:eastAsia="Arial" w:hAnsi="Arial"/>
          <w:sz w:val="22"/>
          <w:szCs w:val="22"/>
        </w:rPr>
        <w:t xml:space="preserve">Европейский центральный банк ожидает сокращения ВВП еврозоны в 2020 году на 8,7%. В 2021 году прогнозируется рост объема ВВП на 5,2%. Последние опросы и различные индикаторы указывают на некоторое оживление экономической активности в еврозоне на фоне постепенного смягчения ограничений, однако улучшение этих индикаторов является слабым в сравнении со скоростью их недавнего падения.</w:t>
      </w:r>
    </w:p>
    <w:p>
      <w:pPr>
        <w:spacing w:after="60"/>
        <w:ind w:firstLine="567"/>
        <w:jc w:val="both"/>
      </w:pPr>
      <w:r>
        <w:rPr>
          <w:rFonts w:ascii="Arial" w:cs="Arial" w:eastAsia="Arial" w:hAnsi="Arial"/>
          <w:sz w:val="22"/>
          <w:szCs w:val="22"/>
        </w:rPr>
        <w:t xml:space="preserve">ВВП Евросоюза во втором квартале 2020 года упал на 11,9% по сравнению с предыдущим кварталом и на 14,4% - относительно того же квартала 2019 года, а в первом квартале 2020 года сократился на 3,6%.</w:t>
      </w:r>
    </w:p>
    <w:p>
      <w:pPr>
        <w:spacing w:after="60"/>
        <w:ind w:firstLine="567"/>
        <w:jc w:val="both"/>
      </w:pPr>
      <w:r>
        <w:rPr>
          <w:rFonts w:ascii="Arial" w:cs="Arial" w:eastAsia="Arial" w:hAnsi="Arial"/>
          <w:sz w:val="22"/>
          <w:szCs w:val="22"/>
        </w:rPr>
        <w:t xml:space="preserve">Макроэкономические показатели говорят о беспрецедентных темпах снижения ВВП еврозоны во II квартале 2020 года и старте увеличения экономической активности со второго полугодия.</w:t>
      </w:r>
    </w:p>
    <w:p>
      <w:pPr>
        <w:spacing w:after="60"/>
        <w:ind w:firstLine="567"/>
        <w:jc w:val="both"/>
      </w:pPr>
      <w:r>
        <w:rPr>
          <w:rFonts w:ascii="Arial" w:cs="Arial" w:eastAsia="Arial" w:hAnsi="Arial"/>
          <w:sz w:val="22"/>
          <w:szCs w:val="22"/>
        </w:rPr>
        <w:t xml:space="preserve">По итогам I полугодия 2020 года европейские лидеры договорились создать фонд в размере 750 млрд. евро, средства которого будут распределяться на восстановление наиболее пострадавших экономик, а Европейский центральный банк увеличил свою программу вливания новой ликвидности до 1,35 трлн. евро.</w:t>
      </w:r>
    </w:p>
    <w:p>
      <w:pPr>
        <w:spacing w:after="60"/>
        <w:ind w:firstLine="567"/>
        <w:jc w:val="both"/>
      </w:pPr>
      <w:r>
        <w:rPr>
          <w:rFonts w:ascii="Arial" w:cs="Arial" w:eastAsia="Arial" w:hAnsi="Arial"/>
          <w:b/>
          <w:bCs/>
          <w:sz w:val="22"/>
          <w:szCs w:val="22"/>
        </w:rPr>
        <w:t xml:space="preserve">Китай.</w:t>
      </w:r>
      <w:r>
        <w:rPr>
          <w:rFonts w:ascii="Arial" w:cs="Arial" w:eastAsia="Arial" w:hAnsi="Arial"/>
          <w:sz w:val="22"/>
          <w:szCs w:val="22"/>
        </w:rPr>
        <w:t xml:space="preserve"> Крупнейшей экономике мира МВФ в апрельском обзоре предвосхитил рост в 1,2% в 2020 году и скачок в 9,2% годом позже, в июньском обзоре снизил прогноз по итогам 2020 года до 1,0%, а на 2021 год прогнозирует рост ВВП на 8,2%. Негативными факторами являются напряженность в отношениях между США и КНР и слабые финансовые показатели компаний.</w:t>
      </w:r>
    </w:p>
    <w:p>
      <w:pPr>
        <w:spacing w:after="60"/>
        <w:ind w:firstLine="567"/>
        <w:jc w:val="both"/>
      </w:pPr>
      <w:r>
        <w:rPr>
          <w:rFonts w:ascii="Arial" w:cs="Arial" w:eastAsia="Arial" w:hAnsi="Arial"/>
          <w:sz w:val="22"/>
          <w:szCs w:val="22"/>
        </w:rPr>
        <w:t xml:space="preserve">Экономика Китая стала первой среди крупнейших стран мира, которая начала расти после спада, вызванного распространением коронавирусной инфекции. ВВП Китая в I квартале 2020 года сократился на 6,8% в годовом исчислении, а во II квартале вырос на 3,2%, по итогам шести месяцев 2020 года - упал на 1,6% в годовом выражении.</w:t>
      </w:r>
    </w:p>
    <w:p>
      <w:pPr>
        <w:spacing w:after="60"/>
        <w:ind w:firstLine="567"/>
        <w:jc w:val="both"/>
      </w:pPr>
      <w:r>
        <w:rPr>
          <w:rFonts w:ascii="Arial" w:cs="Arial" w:eastAsia="Arial" w:hAnsi="Arial"/>
          <w:sz w:val="22"/>
          <w:szCs w:val="22"/>
        </w:rPr>
        <w:t xml:space="preserve">Экономическая активность в Китае восстановится раньше, чем в других странах, где распространение вируса произошло позднее.</w:t>
      </w:r>
    </w:p>
    <w:p>
      <w:pPr>
        <w:spacing w:after="60"/>
        <w:ind w:firstLine="567"/>
        <w:jc w:val="both"/>
      </w:pPr>
      <w:r>
        <w:rPr>
          <w:rFonts w:ascii="Arial" w:cs="Arial" w:eastAsia="Arial" w:hAnsi="Arial"/>
          <w:sz w:val="22"/>
          <w:szCs w:val="22"/>
        </w:rPr>
        <w:t xml:space="preserve">На ежегодной сессии ВСНП Госсоветом КНР принято решение не устанавливать целевой показатель для темпов роста ВВП на 2020 год, обусловленное тем, что Китай сейчас сталкивается с факторами, влияние которых трудно предсказать, включая последствия коронавируса, неопределенность в торговой сфере и отсутствие целевого показателя, что позволит Китаю сконцентрироваться на обеспечении стабильности и безопасности.</w:t>
      </w:r>
    </w:p>
    <w:p>
      <w:pPr>
        <w:spacing w:after="60"/>
        <w:ind w:firstLine="567"/>
        <w:jc w:val="both"/>
      </w:pPr>
      <w:r>
        <w:rPr>
          <w:rFonts w:ascii="Arial" w:cs="Arial" w:eastAsia="Arial" w:hAnsi="Arial"/>
          <w:b/>
          <w:bCs/>
          <w:sz w:val="22"/>
          <w:szCs w:val="22"/>
        </w:rPr>
        <w:t xml:space="preserve">США.</w:t>
      </w:r>
      <w:r>
        <w:rPr>
          <w:rFonts w:ascii="Arial" w:cs="Arial" w:eastAsia="Arial" w:hAnsi="Arial"/>
          <w:sz w:val="22"/>
          <w:szCs w:val="22"/>
        </w:rPr>
        <w:t xml:space="preserve"> МВФ в июньском обзоре ухудшил прогноз экономики США по итогам 2020 года на 2,1 п.п. и снизится на 8,0%, а на 2021 год прогнозирует рост ВВП на 4,5%.</w:t>
      </w:r>
    </w:p>
    <w:p>
      <w:pPr>
        <w:spacing w:after="60"/>
        <w:ind w:firstLine="567"/>
        <w:jc w:val="both"/>
      </w:pPr>
      <w:r>
        <w:rPr>
          <w:rFonts w:ascii="Arial" w:cs="Arial" w:eastAsia="Arial" w:hAnsi="Arial"/>
          <w:sz w:val="22"/>
          <w:szCs w:val="22"/>
        </w:rPr>
        <w:t xml:space="preserve">Сокращение экономики США в I квартале 2020 года составило 5%, а по II квартале 2020 года обвалилась на 32,9% в годовом выражении. Введенные весной карантинные ограничения привели к снижению расходов населения, волне банкротств компаний и резкому скачку безработицы. Для поддержки граждан и бизнеса правительство США и ФРС направили рекордные объемы денежных средств. По словам аналитиков, накачка экономики деньгами позволит ускорить восстановление ВВП, но в то же время грозит увеличением госдолга и дефицита бюджета.</w:t>
      </w:r>
    </w:p>
    <w:p>
      <w:pPr>
        <w:spacing w:after="60"/>
        <w:ind w:firstLine="567"/>
        <w:jc w:val="both"/>
      </w:pPr>
      <w:r>
        <w:rPr>
          <w:rFonts w:ascii="Arial" w:cs="Arial" w:eastAsia="Arial" w:hAnsi="Arial"/>
          <w:sz w:val="22"/>
          <w:szCs w:val="22"/>
        </w:rPr>
        <w:t xml:space="preserve">ФРС ожидает снижения ВВП США на 6,5% в 2020 году. Не исключается возможность рецессии в случае дальнейшего распространения коронавируса в мире. Быстро распространяющийся коронавирус и сопровождающие его факторы страха препятствуют путешествиям, сокращают спрос потребителей и компаний, разрушают цепочки поставок в США и в целом по миру.</w:t>
      </w:r>
    </w:p>
    <w:p>
      <w:pPr>
        <w:spacing w:after="60" w:before="200"/>
        <w:ind w:firstLine="567"/>
        <w:jc w:val="both"/>
      </w:pPr>
      <w:r>
        <w:rPr>
          <w:rFonts w:ascii="Arial" w:cs="Arial" w:eastAsia="Arial" w:hAnsi="Arial"/>
          <w:b/>
          <w:bCs/>
          <w:sz w:val="22"/>
          <w:szCs w:val="22"/>
        </w:rPr>
        <w:t xml:space="preserve">Рис. 1. Прогноз МВФ темпов прироста ВВП прироста мировой экономики Китая, в %</w:t>
      </w:r>
    </w:p>
    <w:p>
      <w:pPr>
        <w:spacing w:after="200" w:before="200"/>
        <w:ind w:firstLine="567"/>
        <w:jc w:val="both"/>
      </w:pPr>
      <w:r>
        <w:rPr>
          <w:rFonts w:ascii="Arial" w:cs="Arial" w:eastAsia="Arial" w:hAnsi="Arial"/>
          <w:b/>
          <w:bCs/>
          <w:sz w:val="22"/>
          <w:szCs w:val="22"/>
        </w:rPr>
        <w:t xml:space="preserve">Рис. 2. Прогноз МВФ темпов ВВП еврозоны и США, в %</w:t>
      </w:r>
    </w:p>
    <w:p>
      <w:pPr>
        <w:spacing w:after="60"/>
        <w:ind w:firstLine="567"/>
        <w:jc w:val="both"/>
      </w:pPr>
      <w:r>
        <w:rPr>
          <w:rFonts w:ascii="Arial" w:cs="Arial" w:eastAsia="Arial" w:hAnsi="Arial"/>
          <w:b/>
          <w:bCs/>
          <w:sz w:val="22"/>
          <w:szCs w:val="22"/>
        </w:rPr>
        <w:t xml:space="preserve">Государства - члены ЕАЭС.</w:t>
      </w:r>
      <w:r>
        <w:rPr>
          <w:rFonts w:ascii="Arial" w:cs="Arial" w:eastAsia="Arial" w:hAnsi="Arial"/>
          <w:sz w:val="22"/>
          <w:szCs w:val="22"/>
        </w:rPr>
        <w:t xml:space="preserve"> Прогнозируемое снижение мировой экономики и торговли будет оказывать негативное влияние на состояние экономической активности государств - членов ЕАЭС.</w:t>
      </w:r>
    </w:p>
    <w:p>
      <w:pPr>
        <w:spacing w:after="60"/>
        <w:ind w:firstLine="567"/>
        <w:jc w:val="both"/>
      </w:pPr>
      <w:r>
        <w:rPr>
          <w:rFonts w:ascii="Arial" w:cs="Arial" w:eastAsia="Arial" w:hAnsi="Arial"/>
          <w:sz w:val="22"/>
          <w:szCs w:val="22"/>
        </w:rPr>
        <w:t xml:space="preserve">МВФ, по росту ВВП государств - членов ЕАЭС, ухудшил свои прогнозы на 2020 год: прогноз роста Российской Федерации пересмотрен в сторону снижения с (-)5,5% до (-)6,6%; Республики Беларусь - до (-)6,0%, Республики Армения - до (-)1,5%, Республики Казахстан - с (-)2,5% до (-)2,7%, а Кыргызской Республики - с (-)4,0% до (-)14,0%.</w:t>
      </w:r>
    </w:p>
    <w:p>
      <w:pPr>
        <w:spacing w:after="60" w:before="200"/>
        <w:ind w:firstLine="567"/>
        <w:jc w:val="both"/>
      </w:pPr>
      <w:r>
        <w:rPr>
          <w:rFonts w:ascii="Arial" w:cs="Arial" w:eastAsia="Arial" w:hAnsi="Arial"/>
          <w:b/>
          <w:bCs/>
          <w:sz w:val="22"/>
          <w:szCs w:val="22"/>
        </w:rPr>
        <w:t xml:space="preserve">Рис. 3. Прогноз МВФ темпов прироста ВВП РА и РБ, в %</w:t>
      </w:r>
    </w:p>
    <w:p>
      <w:pPr>
        <w:spacing w:after="200" w:before="200"/>
        <w:ind w:firstLine="567"/>
        <w:jc w:val="both"/>
      </w:pPr>
      <w:r>
        <w:rPr>
          <w:rFonts w:ascii="Arial" w:cs="Arial" w:eastAsia="Arial" w:hAnsi="Arial"/>
          <w:b/>
          <w:bCs/>
          <w:sz w:val="22"/>
          <w:szCs w:val="22"/>
        </w:rPr>
        <w:t xml:space="preserve">Рис. 4. Прогноз МВФ темпов прироста ВВП РФ и РК, в %</w:t>
      </w:r>
    </w:p>
    <w:p>
      <w:pPr>
        <w:spacing w:after="60"/>
        <w:ind w:firstLine="567"/>
        <w:jc w:val="both"/>
      </w:pPr>
      <w:r>
        <w:rPr>
          <w:rFonts w:ascii="Arial" w:cs="Arial" w:eastAsia="Arial" w:hAnsi="Arial"/>
          <w:b/>
          <w:bCs/>
          <w:sz w:val="22"/>
          <w:szCs w:val="22"/>
        </w:rPr>
        <w:t xml:space="preserve">Российская Федерация(5).</w:t>
      </w:r>
      <w:r>
        <w:rPr>
          <w:rFonts w:ascii="Arial" w:cs="Arial" w:eastAsia="Arial" w:hAnsi="Arial"/>
          <w:sz w:val="22"/>
          <w:szCs w:val="22"/>
        </w:rPr>
        <w:t xml:space="preserve"> По итогам I полугодия 2020 года прогноз экономического развития Российской Федерации был пересмотрен в сторону смягчения. Согласно предварительной оценке Министерства экономического развития Российской Федерации, падение ВВП в 2020 году составит 4,8% вместо 5% - по предыдущей оценке. В конце августа Министерство экономического развития улучшило оценки восстановления российской экономики из-за улучшения внутреннего спроса. Прогноз снижения ВВП страны в 2020 году улучшен до 3,9% с предыдущей июньской оценки спада 4,8% за год.</w:t>
      </w:r>
    </w:p>
    <w:p>
      <w:pPr>
        <w:spacing w:after="60"/>
        <w:ind w:firstLine="567"/>
        <w:jc w:val="both"/>
      </w:pPr>
      <w:r>
        <w:rPr>
          <w:rFonts w:ascii="Arial" w:cs="Arial" w:eastAsia="Arial" w:hAnsi="Arial"/>
          <w:sz w:val="22"/>
          <w:szCs w:val="22"/>
        </w:rPr>
        <w:t xml:space="preserve">Восстановительный рост экономики, согласно обновленным параметрам макроэкономического прогноза, будет быстрее: темпы роста ВВП в 2021 году ожидаются на уровне 3,2% вместо 2,8% по предыдущей оценке.</w:t>
      </w:r>
    </w:p>
    <w:p>
      <w:pPr>
        <w:spacing w:after="60"/>
        <w:ind w:firstLine="567"/>
        <w:jc w:val="both"/>
      </w:pPr>
      <w:r>
        <w:rPr>
          <w:rFonts w:ascii="Arial" w:cs="Arial" w:eastAsia="Arial" w:hAnsi="Arial"/>
          <w:sz w:val="22"/>
          <w:szCs w:val="22"/>
        </w:rPr>
        <w:t xml:space="preserve">Банк России скорректировал прогноз по падению ВВП РФ в 2020 году до 4,5-5,5% с прежних 4-6% (апрельский прогноз). В дальнейшем прогнозируется восстановительный рост российской экономики на 3,5-4,5% в 2021 году. Согласно оценке на 20 июля 2020 года, годовая инфляция составила около 3,3%. По итогам года, с учетом проводимой денежно-кредитной политики, Центральный банк Российской Федерации ожидает уровень инфляции в районе 4%.</w:t>
      </w:r>
    </w:p>
    <w:p>
      <w:pPr>
        <w:spacing w:after="60"/>
        <w:ind w:firstLine="567"/>
        <w:jc w:val="both"/>
      </w:pPr>
      <w:r>
        <w:rPr>
          <w:rFonts w:ascii="Arial" w:cs="Arial" w:eastAsia="Arial" w:hAnsi="Arial"/>
          <w:b/>
          <w:bCs/>
          <w:sz w:val="22"/>
          <w:szCs w:val="22"/>
        </w:rPr>
        <w:t xml:space="preserve">Республика Казахстан(6).</w:t>
      </w:r>
      <w:r>
        <w:rPr>
          <w:rFonts w:ascii="Arial" w:cs="Arial" w:eastAsia="Arial" w:hAnsi="Arial"/>
          <w:sz w:val="22"/>
          <w:szCs w:val="22"/>
        </w:rPr>
        <w:t xml:space="preserve"> Нестабильная внешнеэкономическая ситуация, наметившаяся глобальная рецессия и замедление деловой активности на фоне защитных мер по нераспространению коронавируса явились основой для пересмотра прогноза. На фоне низких цен прогноз по добыче нефти снижен до 86 млн. тонн (на 4 млн. тонн). Это обусловливает снижение производства горнодобывающей промышленности. В то же время ожидается снижение по сравнению с ранее одобренными темпами роста обрабатывающей промышленности, сельского хозяйства, строительства и сектора услуг, в том числе торговли. Экспорт снизится на 16,3 млрд. долларов США, до 35,1 млрд. долларов США. Импорт сократится на 7,5 млрд. долларов США, до 26,6 млрд. долларов США.</w:t>
      </w:r>
    </w:p>
    <w:p>
      <w:pPr>
        <w:spacing w:after="60"/>
        <w:ind w:firstLine="567"/>
        <w:jc w:val="both"/>
      </w:pPr>
      <w:r>
        <w:rPr>
          <w:rFonts w:ascii="Arial" w:cs="Arial" w:eastAsia="Arial" w:hAnsi="Arial"/>
          <w:sz w:val="22"/>
          <w:szCs w:val="22"/>
        </w:rPr>
        <w:t xml:space="preserve">Средняя цена нефти в уточненном бюджете определена на уровне 20 долларов США за баррель. Годовая инфляция ожидается в интервале 9-11%.</w:t>
      </w:r>
    </w:p>
    <w:p>
      <w:pPr>
        <w:spacing w:after="60"/>
        <w:ind w:firstLine="567"/>
        <w:jc w:val="both"/>
      </w:pPr>
      <w:r>
        <w:rPr>
          <w:rFonts w:ascii="Arial" w:cs="Arial" w:eastAsia="Arial" w:hAnsi="Arial"/>
          <w:sz w:val="22"/>
          <w:szCs w:val="22"/>
        </w:rPr>
        <w:t xml:space="preserve">С учетом вышеотмеченных факторов, в 2020 году ожидается снижение ВВП на 0,9%. Номинальный ВВП оценивается в объеме 69,7 трлн. тенге, что на 4,8 трлн. тенге ниже одобренного прогноза.</w:t>
      </w:r>
    </w:p>
    <w:p>
      <w:pPr>
        <w:spacing w:after="60"/>
        <w:ind w:firstLine="567"/>
        <w:jc w:val="both"/>
      </w:pPr>
      <w:r>
        <w:rPr>
          <w:rFonts w:ascii="Arial" w:cs="Arial" w:eastAsia="Arial" w:hAnsi="Arial"/>
          <w:sz w:val="22"/>
          <w:szCs w:val="22"/>
        </w:rPr>
        <w:t xml:space="preserve">В 2021 году в качестве основы для бюджетного планирования в базовом сценарии рост ВВП прогнозируется на уровне 2,8%. Номинальный ВВП составит 76,7 трлн. тг. Цена на нефть заложена на уровне 35 долларов США за баррель в 2021-2023 годах, с учетом консервативного подхода. Инфляция прогнозируется в интервале 4-6% в 2021-2022 годах.</w:t>
      </w:r>
    </w:p>
    <w:p>
      <w:pPr>
        <w:spacing w:after="60"/>
        <w:ind w:firstLine="567"/>
        <w:jc w:val="both"/>
      </w:pPr>
      <w:r>
        <w:rPr>
          <w:rFonts w:ascii="Arial" w:cs="Arial" w:eastAsia="Arial" w:hAnsi="Arial"/>
          <w:b/>
          <w:bCs/>
          <w:sz w:val="22"/>
          <w:szCs w:val="22"/>
        </w:rPr>
        <w:t xml:space="preserve">Мировой рынок нефти.</w:t>
      </w:r>
      <w:r>
        <w:rPr>
          <w:rFonts w:ascii="Arial" w:cs="Arial" w:eastAsia="Arial" w:hAnsi="Arial"/>
          <w:sz w:val="22"/>
          <w:szCs w:val="22"/>
        </w:rPr>
        <w:t xml:space="preserve"> Пандемия COVID-19 привела к значительным изменениям в структуре спроса и предложения энергетического топлива. В 2020 году рынок нефти будет сильно перенасыщен из-за ослабления спроса на фоне вспышки коронавируса. Продление карантина в ряде стран приведет к росту запасов и еще сильнее снизит спрос на нефть.</w:t>
      </w:r>
    </w:p>
    <w:p>
      <w:pPr>
        <w:spacing w:after="60"/>
        <w:ind w:firstLine="567"/>
        <w:jc w:val="both"/>
      </w:pPr>
      <w:r>
        <w:rPr>
          <w:rFonts w:ascii="Arial" w:cs="Arial" w:eastAsia="Arial" w:hAnsi="Arial"/>
          <w:sz w:val="22"/>
          <w:szCs w:val="22"/>
        </w:rPr>
        <w:t xml:space="preserve">Уровень заполнения хранилищ нефтепродуктами может оставаться высоким из-за слабого спроса на топливо со стороны дорожного и воздушного транспорта, при этом ожидается, что цены на дизельное топливо, мазут и нафту получат поддержку от секторов, в меньшей степени затронутых пандемией.</w:t>
      </w:r>
    </w:p>
    <w:p>
      <w:pPr>
        <w:spacing w:after="60"/>
        <w:ind w:firstLine="567"/>
        <w:jc w:val="both"/>
      </w:pPr>
      <w:r>
        <w:rPr>
          <w:rFonts w:ascii="Arial" w:cs="Arial" w:eastAsia="Arial" w:hAnsi="Arial"/>
          <w:sz w:val="22"/>
          <w:szCs w:val="22"/>
        </w:rPr>
        <w:t xml:space="preserve">В связи с этим в ОПЕК отмечают необходимость поддерживать восстановление баланса на рынке, сокращая добычу нефти производителями ОПЕК и участниками сделки ОПЕК+.</w:t>
      </w:r>
    </w:p>
    <w:p>
      <w:pPr>
        <w:spacing w:after="60"/>
        <w:ind w:firstLine="567"/>
        <w:jc w:val="both"/>
      </w:pPr>
      <w:r>
        <w:rPr>
          <w:rFonts w:ascii="Arial" w:cs="Arial" w:eastAsia="Arial" w:hAnsi="Arial"/>
          <w:sz w:val="22"/>
          <w:szCs w:val="22"/>
        </w:rPr>
        <w:t xml:space="preserve">В апреле страны - участницы ОПЕК+ согласовали новую сделку о сокращении добычи нефти для стабилизации ситуации на рынке. Согласно договоренностям, сокращение во втором полугодии 2020 года составит 7,7 млн. баррелей в стуки, а далее - 5,8 млн. до конца апреля 2022 года. В мае-июле 2020 года сокращение составило 9,7 млн. баррелей в сутки. Соглашение вступило в силу с 1 мая 2020 года.</w:t>
      </w:r>
    </w:p>
    <w:p>
      <w:pPr>
        <w:spacing w:after="60"/>
        <w:ind w:firstLine="567"/>
        <w:jc w:val="both"/>
      </w:pPr>
      <w:r>
        <w:rPr>
          <w:rFonts w:ascii="Arial" w:cs="Arial" w:eastAsia="Arial" w:hAnsi="Arial"/>
          <w:sz w:val="22"/>
          <w:szCs w:val="22"/>
        </w:rPr>
        <w:t xml:space="preserve">При этом соглашение ОПЕК+ позволит удержать цены на уровне 40-50 долларов США за баррель до конца года.</w:t>
      </w:r>
    </w:p>
    <w:p>
      <w:pPr>
        <w:spacing w:after="60"/>
        <w:ind w:firstLine="567"/>
        <w:jc w:val="both"/>
      </w:pPr>
      <w:r>
        <w:rPr>
          <w:rFonts w:ascii="Arial" w:cs="Arial" w:eastAsia="Arial" w:hAnsi="Arial"/>
          <w:sz w:val="22"/>
          <w:szCs w:val="22"/>
        </w:rPr>
        <w:t xml:space="preserve">Благодаря новой сделке ОПЕК+ в апреле месяце нефтяные котировки начали восстанавливаться, и в настоящее время нефть торгуется и пределах 42-46 долларов США за баррель, что позволяет странам-экспортерам нефти пересмотреть прогнозы экономик своих стран.</w:t>
      </w:r>
    </w:p>
    <w:p>
      <w:pPr>
        <w:spacing w:after="60"/>
        <w:ind w:firstLine="567"/>
        <w:jc w:val="both"/>
      </w:pPr>
      <w:r>
        <w:rPr>
          <w:rFonts w:ascii="Arial" w:cs="Arial" w:eastAsia="Arial" w:hAnsi="Arial"/>
          <w:sz w:val="22"/>
          <w:szCs w:val="22"/>
        </w:rPr>
        <w:t xml:space="preserve">По оценке экспертов, мировой спрос на нефть полностью восстановится только к концу 2021 года, если мир не столкнется со второй волной коронавируса и новым карантином.</w:t>
      </w:r>
    </w:p>
    <w:p>
      <w:pPr>
        <w:spacing w:after="60"/>
        <w:ind w:firstLine="567"/>
        <w:jc w:val="both"/>
      </w:pPr>
      <w:r>
        <w:rPr>
          <w:rFonts w:ascii="Arial" w:cs="Arial" w:eastAsia="Arial" w:hAnsi="Arial"/>
          <w:sz w:val="22"/>
          <w:szCs w:val="22"/>
        </w:rPr>
        <w:t xml:space="preserve">В результате волатильности цен на нефть на валютных рынках произошло укрепление курса доллара по отношению к другим валютам.</w:t>
      </w:r>
    </w:p>
    <w:p>
      <w:pPr>
        <w:spacing w:after="60"/>
        <w:ind w:firstLine="567"/>
        <w:jc w:val="both"/>
      </w:pPr>
      <w:r>
        <w:rPr>
          <w:rFonts w:ascii="Arial" w:cs="Arial" w:eastAsia="Arial" w:hAnsi="Arial"/>
          <w:sz w:val="22"/>
          <w:szCs w:val="22"/>
        </w:rPr>
        <w:t xml:space="preserve">В среднесрочной перспективе рынок сможет восстановить равновесие вслед за восстановлением спроса. В таких условиях в среднесрочном периоде ожидается, что цены на нефть стабилизируются в коридоре от 40 до 60 долларов США за баррель. Однако в случае превышения спроса над предложением и наоборот, вероятен выход из этого коридора.</w:t>
      </w:r>
    </w:p>
    <w:p>
      <w:pPr>
        <w:spacing w:after="60"/>
        <w:ind w:firstLine="567"/>
        <w:jc w:val="both"/>
      </w:pPr>
      <w:r>
        <w:rPr>
          <w:rFonts w:ascii="Arial" w:cs="Arial" w:eastAsia="Arial" w:hAnsi="Arial"/>
          <w:b/>
          <w:bCs/>
          <w:sz w:val="22"/>
          <w:szCs w:val="22"/>
        </w:rPr>
        <w:t xml:space="preserve">Мировой рынок золота.</w:t>
      </w:r>
      <w:r>
        <w:rPr>
          <w:rFonts w:ascii="Arial" w:cs="Arial" w:eastAsia="Arial" w:hAnsi="Arial"/>
          <w:sz w:val="22"/>
          <w:szCs w:val="22"/>
        </w:rPr>
        <w:t xml:space="preserve"> Рынок золота испытывает давление. С одной стороны, спрос на золото подстегивается из-за возникшей ситуации распространения коронавируса и финансового стимулирования ведущих мировых центральных банков. С другой стороны, получить золото стало значительно сложнее: из-за карантина были приостановлены работы крупнейших аффинажных заводов, отменяются авиарейсы, которыми транспортировалось золото, остановлена работа добывающих предприятий.</w:t>
      </w:r>
    </w:p>
    <w:p>
      <w:pPr>
        <w:spacing w:after="60"/>
        <w:ind w:firstLine="567"/>
        <w:jc w:val="both"/>
      </w:pPr>
      <w:r>
        <w:rPr>
          <w:rFonts w:ascii="Arial" w:cs="Arial" w:eastAsia="Arial" w:hAnsi="Arial"/>
          <w:sz w:val="22"/>
          <w:szCs w:val="22"/>
        </w:rPr>
        <w:t xml:space="preserve">Цена золота сохраняет восходящий тренд, установив новые ценовые рекорды. С начала 2020 года доходность золота составила уже +35%. В июле был побит рекорд стоимости 2011 года, который держался на протяжении 9 лет на уровне 1921 доллара США за унцию.</w:t>
      </w:r>
    </w:p>
    <w:p>
      <w:pPr>
        <w:spacing w:after="60"/>
        <w:ind w:firstLine="567"/>
        <w:jc w:val="both"/>
      </w:pPr>
      <w:r>
        <w:rPr>
          <w:rFonts w:ascii="Arial" w:cs="Arial" w:eastAsia="Arial" w:hAnsi="Arial"/>
          <w:sz w:val="22"/>
          <w:szCs w:val="22"/>
        </w:rPr>
        <w:t xml:space="preserve">Индексы фондовых рынков США находятся на рекордных уровнях, поскольку с начала 2020 года, из-за лихорадки от последствий пандемии коронавируса COVID-19, трейдеры ждут от властей все новых мер фискального и монетарного стимулирования экономики, "дешевых денег". Режим нулевых/отрицательных процентных ставок уже считается "новой нормой".</w:t>
      </w:r>
    </w:p>
    <w:p>
      <w:pPr>
        <w:spacing w:after="60"/>
        <w:ind w:firstLine="567"/>
        <w:jc w:val="both"/>
      </w:pPr>
      <w:r>
        <w:rPr>
          <w:rFonts w:ascii="Arial" w:cs="Arial" w:eastAsia="Arial" w:hAnsi="Arial"/>
          <w:sz w:val="22"/>
          <w:szCs w:val="22"/>
        </w:rPr>
        <w:t xml:space="preserve">В таких условиях желтый металл не может не дорожать. Инвесторы покупают драгметалл, поскольку знают, что ралли на фондовых рынках прекратится, если поток "дешевых денег" иссякнет. Американская экономика и фондовые рынки этой страны сидят "на игле" стимулирующих мер. То же можно сказать и о ЕС, где была согласована вторая порция рекордных стимулов более чем на 1 трлн. евро в виде субсидий и дешевых кредитов.</w:t>
      </w:r>
    </w:p>
    <w:p>
      <w:pPr>
        <w:spacing w:after="60"/>
        <w:ind w:firstLine="567"/>
        <w:jc w:val="both"/>
      </w:pPr>
      <w:r>
        <w:rPr>
          <w:rFonts w:ascii="Arial" w:cs="Arial" w:eastAsia="Arial" w:hAnsi="Arial"/>
          <w:sz w:val="22"/>
          <w:szCs w:val="22"/>
        </w:rPr>
        <w:t xml:space="preserve">Популярность драгметалла как защитного актива объясняется еще и возобновлением геополитической напряженности. Конфликт между США и Китаем переходит в горячую фазу: недавно страны обменялись закрытиями консульств. Все это происходит в атмосфере ухудшения эпидемиологической ситуации в мире, от которой страдают США, страны Южной Америки, Африки и Азии. В результате чего надежды инвесторов на V-образное восстановление экономики уже практически испарились, поскольку в некоторых ведущих странах был введен частичный карантин.</w:t>
      </w:r>
    </w:p>
    <w:p>
      <w:pPr>
        <w:spacing w:after="60"/>
        <w:ind w:firstLine="567"/>
        <w:jc w:val="both"/>
      </w:pPr>
      <w:r>
        <w:rPr>
          <w:rFonts w:ascii="Arial" w:cs="Arial" w:eastAsia="Arial" w:hAnsi="Arial"/>
          <w:sz w:val="22"/>
          <w:szCs w:val="22"/>
        </w:rPr>
        <w:t xml:space="preserve">В таких условиях, как прогнозируют ведущие инвестиционные банки, курс драгметалла может выйти к отметке 2000 долларов за унцию в краткосрочном периоде, затем стоимость драгметалла может вырасти до 2300 долларов за унцию в течение следующих 6-12 месяцев.</w:t>
      </w:r>
    </w:p>
    <w:p>
      <w:pPr>
        <w:spacing w:after="60"/>
        <w:ind w:firstLine="567"/>
        <w:jc w:val="both"/>
      </w:pPr>
      <w:r>
        <w:rPr>
          <w:rFonts w:ascii="Arial" w:cs="Arial" w:eastAsia="Arial" w:hAnsi="Arial"/>
          <w:sz w:val="22"/>
          <w:szCs w:val="22"/>
        </w:rPr>
        <w:t xml:space="preserve">С учетом того, что вся волна роста заняла примерно 620 долларов США - с мартовских низов на уровне 1450 долларов США до августовского максимума на 2070 долларов США - наиболее вероятная цель "дна" коррекции - область 1800 долларов США +/-20.</w:t>
      </w:r>
    </w:p>
    <w:p>
      <w:pPr>
        <w:spacing w:after="60"/>
        <w:ind w:firstLine="567"/>
        <w:jc w:val="both"/>
      </w:pPr>
      <w:r>
        <w:rPr>
          <w:rFonts w:ascii="Arial" w:cs="Arial" w:eastAsia="Arial" w:hAnsi="Arial"/>
          <w:sz w:val="22"/>
          <w:szCs w:val="22"/>
        </w:rPr>
        <w:t xml:space="preserve">Но в целом по оценке экспертов, прогноз по поводу дальнейших перспектив рынка золота остается положительным(7), учитывая слабость доллара США, растущие инфляционные риски и возможность ввода контрольных мер по отношению к динамике доходности, наряду с беспрецедентным масштабом мер финансовой поддержки, и низкие или отрицательные реальные процентные ставки.</w:t>
      </w:r>
    </w:p>
    <w:p>
      <w:pPr>
        <w:spacing w:after="60"/>
        <w:ind w:firstLine="567"/>
        <w:jc w:val="both"/>
      </w:pPr>
      <w:r>
        <w:rPr>
          <w:rFonts w:ascii="Arial" w:cs="Arial" w:eastAsia="Arial" w:hAnsi="Arial"/>
          <w:sz w:val="22"/>
          <w:szCs w:val="22"/>
        </w:rPr>
        <w:t xml:space="preserve">Золото традиционно будет оставаться защитным активом в ситуациях, чреватых спадом или серьезными экономическими потрясениями. Цена на золото может на какое-то время скорректироваться вниз, но в целом тренд на подорожание будет достаточно длительным.</w:t>
      </w:r>
    </w:p>
    <w:p>
      <w:pPr>
        <w:spacing w:after="60"/>
        <w:ind w:firstLine="567"/>
        <w:jc w:val="both"/>
      </w:pPr>
      <w:r>
        <w:rPr>
          <w:rFonts w:ascii="Arial" w:cs="Arial" w:eastAsia="Arial" w:hAnsi="Arial"/>
          <w:sz w:val="22"/>
          <w:szCs w:val="22"/>
        </w:rPr>
        <w:t xml:space="preserve">В среднесрочной перспективе будут оставаться риски, которые могут отразиться на цене на золото: повышение ставок ФРС в ответ на ускорение инфляции в США, вызванное ростом потребительского спроса; президентские выборы в США в ноябре 2020 года, неопределенность в окончательном разрешении торгового соглашения между США и Китаем и др.</w:t>
      </w:r>
    </w:p>
    <w:p>
      <w:pPr>
        <w:spacing w:after="60" w:before="200"/>
        <w:ind w:firstLine="567"/>
        <w:jc w:val="both"/>
      </w:pPr>
      <w:r>
        <w:rPr>
          <w:rFonts w:ascii="Arial" w:cs="Arial" w:eastAsia="Arial" w:hAnsi="Arial"/>
          <w:b/>
          <w:bCs/>
          <w:sz w:val="22"/>
          <w:szCs w:val="22"/>
        </w:rPr>
        <w:t xml:space="preserve">Рис. 5. Прогноз мировой цены на нефть, в %(8)</w:t>
      </w:r>
    </w:p>
    <w:p>
      <w:pPr>
        <w:spacing w:after="200" w:before="200"/>
        <w:ind w:firstLine="567"/>
        <w:jc w:val="both"/>
      </w:pPr>
      <w:r>
        <w:rPr>
          <w:rFonts w:ascii="Arial" w:cs="Arial" w:eastAsia="Arial" w:hAnsi="Arial"/>
          <w:b/>
          <w:bCs/>
          <w:sz w:val="22"/>
          <w:szCs w:val="22"/>
        </w:rPr>
        <w:t xml:space="preserve">Рис. 6. Прогноз цен на золото, в %(8)</w:t>
      </w:r>
    </w:p>
    <w:p>
      <w:pPr>
        <w:spacing w:after="60"/>
        <w:ind w:firstLine="567"/>
        <w:jc w:val="both"/>
      </w:pPr>
      <w:r>
        <w:rPr>
          <w:rFonts w:ascii="Arial" w:cs="Arial" w:eastAsia="Arial" w:hAnsi="Arial"/>
          <w:sz w:val="22"/>
          <w:szCs w:val="22"/>
        </w:rPr>
        <w:t xml:space="preserve">С учетом вышеуказанных факторов и рисков, а также в условиях неопределенности отдельных событий, которые оказывают значительное влияние на восстановление/повышение цен на сырьевые товары, разработаны количественные значения внешних параметров прогнозов на 2020-2023 годы. В течение рассматриваемых периодов перспективы развития мировой экономики варьируются в интервале (-)6,0%-0,5%, а изменение цен на нефть варьируется в интервале от 28,0 до 60,0 долларов США за баррель. На 2020-2023 годы цены на золото прогнозируются в диапазоне 1520-1800 долларов США за тройскую унцию.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Интервальные количественные значения индивидуальных
 внешних параметров прогнозов на 2020-2023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2746"/>
        <w:gridCol w:w="1913"/>
        <w:gridCol w:w="1273"/>
        <w:gridCol w:w="1273"/>
        <w:gridCol w:w="1273"/>
        <w:gridCol w:w="1273"/>
      </w:tblGrid>
      <w:tr>
        <w:tc>
          <w:tcPr>
            <w:tcW w:type="dxa" w:w="4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7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показателя</w:t>
            </w:r>
          </w:p>
        </w:tc>
        <w:tc>
          <w:tcPr>
            <w:tcW w:type="dxa" w:w="19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50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Интервал прогнозной оценки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Прогноз темпов развития мировой экономики</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к пред. году</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(-)6,0-0,5</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3,0-5,8</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2,2-3,8</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2,4-3,8</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Прогноз цен на нефть марки Brent</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долл. США за баррель</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27,7-45,0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30,0-55,0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30,0-58,0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30,0-60,0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Прогноз цен на золото</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долл. США за тройскую унцию</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1520-1700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1540-1750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1560-1800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1580-1800</w:t>
            </w:r>
          </w:p>
        </w:tc>
      </w:tr>
    </w:tbl>
    <w:p>
      <w:pPr>
        <w:spacing w:after="60" w:before="120"/>
        <w:ind w:firstLine="567"/>
        <w:jc w:val="both"/>
      </w:pPr>
      <w:r>
        <w:rPr>
          <w:rFonts w:ascii="Arial" w:cs="Arial" w:eastAsia="Arial" w:hAnsi="Arial"/>
          <w:sz w:val="22"/>
          <w:szCs w:val="22"/>
        </w:rPr>
        <w:t xml:space="preserve">Таким образом, нестабильная внешнеэкономическая ситуация, растущая вероятность "долгового кризиса" для многих сырьевых экономик и замедление деловой активности на фоне защитных мер по нераспространению коронавируса подкрепляют основания для снижения прогнозов темпов роста мировой экономики.</w:t>
      </w:r>
    </w:p>
    <w:p>
      <w:pPr>
        <w:spacing w:after="60"/>
        <w:ind w:firstLine="567"/>
        <w:jc w:val="both"/>
      </w:pPr>
      <w:r>
        <w:rPr>
          <w:rFonts w:ascii="Arial" w:cs="Arial" w:eastAsia="Arial" w:hAnsi="Arial"/>
          <w:sz w:val="22"/>
          <w:szCs w:val="22"/>
        </w:rPr>
        <w:t xml:space="preserve">Уровень неопределенности остается высоким. Вспышка коронавирусной инфекции привела к запуску трех макроэкономических процессов одновременно: глобальное влияние на спрос, предложение и нефтяная война, сбившая цены до многомесячных минимумов. Эти события могут привести к масштабному сокращению капитала и, как следствие, структурной безработице.</w:t>
      </w:r>
    </w:p>
    <w:p>
      <w:pPr>
        <w:spacing w:after="60"/>
        <w:ind w:firstLine="567"/>
        <w:jc w:val="both"/>
      </w:pPr>
      <w:r>
        <w:rPr>
          <w:rFonts w:ascii="Arial" w:cs="Arial" w:eastAsia="Arial" w:hAnsi="Arial"/>
          <w:sz w:val="22"/>
          <w:szCs w:val="22"/>
        </w:rPr>
        <w:t xml:space="preserve">В среднесрочном периоде на первый план выйдет необходимость скорейшего восстановления экономических процессов. В рамках глобальной экономики восстановление окажется разноскоростным и неравномерным, учитывая различный уровень разрушительного воздействия шоков на экономики стран и особенность принимаемых антикризисных мер. Скорейшее возвращение на траекторию экономического роста будет наблюдаться в государствах, уделяющих внимание проведению целенаправленной политики активизации внутренних источников экономического роста, укреплению действующих и формированию новых производственных и торговых связей.</w:t>
      </w:r>
    </w:p>
    <w:p>
      <w:pPr>
        <w:spacing w:after="60"/>
        <w:ind w:firstLine="567"/>
        <w:jc w:val="both"/>
      </w:pPr>
      <w:r>
        <w:rPr>
          <w:rFonts w:ascii="Arial" w:cs="Arial" w:eastAsia="Arial" w:hAnsi="Arial"/>
          <w:sz w:val="22"/>
          <w:szCs w:val="22"/>
        </w:rPr>
        <w:t xml:space="preserve">В зависимости от продолжительности нынешнего кризиса можно будет и спрогнозировать, сколько времени понадобится на восстановление. И если этот кризис продлится год или дольше, то эксперты оценивают, что потребуется значительное количество лет для того, чтобы вернуться к докризисным параметрам. Чем дольше будут действовать меры по сдерживанию COVID-19, тем сложнее будет процесс восстановления, что увеличит потребность в государственной поддержке.</w:t>
      </w:r>
    </w:p>
    <w:p>
      <w:pPr>
        <w:spacing w:after="200" w:before="200"/>
        <w:jc w:val="center"/>
      </w:pPr>
      <w:r>
        <w:rPr>
          <w:rFonts w:ascii="Arial" w:cs="Arial" w:eastAsia="Arial" w:hAnsi="Arial"/>
          <w:b/>
          <w:bCs/>
          <w:sz w:val="22"/>
          <w:szCs w:val="22"/>
        </w:rPr>
        <w:t xml:space="preserve">4. Условия и факторы/риски социально-экономического развития Кыргызской Республики на 2020-2023 годы</w:t>
      </w:r>
    </w:p>
    <w:p>
      <w:pPr>
        <w:spacing w:after="60"/>
        <w:ind w:firstLine="567"/>
        <w:jc w:val="both"/>
      </w:pPr>
      <w:r>
        <w:rPr>
          <w:rFonts w:ascii="Arial" w:cs="Arial" w:eastAsia="Arial" w:hAnsi="Arial"/>
          <w:sz w:val="22"/>
          <w:szCs w:val="22"/>
        </w:rPr>
        <w:t xml:space="preserve">Экономическое развитие в 2020 году и прогнозируемом горизонте (2021-2023 годы) будет строиться на гипотезе продолжения влияния как внешних, так и внутренних факторов, которые будут оказывать определенное давление на национальную экономику через каналы торговли и денежных переводов.</w:t>
      </w:r>
    </w:p>
    <w:p>
      <w:pPr>
        <w:spacing w:after="60" w:before="200"/>
        <w:ind w:firstLine="567"/>
        <w:jc w:val="both"/>
      </w:pPr>
      <w:r>
        <w:rPr>
          <w:rFonts w:ascii="Arial" w:cs="Arial" w:eastAsia="Arial" w:hAnsi="Arial"/>
          <w:b/>
          <w:bCs/>
          <w:sz w:val="22"/>
          <w:szCs w:val="22"/>
        </w:rPr>
        <w:t xml:space="preserve">Внешние условия</w:t>
      </w:r>
    </w:p>
    <w:p>
      <w:pPr>
        <w:spacing w:after="60"/>
        <w:ind w:firstLine="567"/>
        <w:jc w:val="both"/>
      </w:pPr>
      <w:r>
        <w:rPr>
          <w:rFonts w:ascii="Arial" w:cs="Arial" w:eastAsia="Arial" w:hAnsi="Arial"/>
          <w:sz w:val="22"/>
          <w:szCs w:val="22"/>
        </w:rPr>
        <w:t xml:space="preserve">После ожидаемого значительного снижения мирового ВВП в 2020 году, экономика начнет с 2021 года этап выхода из состояния некоторой "заморозки". В среднесрочной перспективе будет наблюдаться тенденция постепенного восстановления роста мировой экономики. Мировой фон будет оказывать влияние на экономики государств - членов ЕАЭС, темпы прироста которых снизятся в 2020 году, с последующим ростом в среднесрочной перспективе.</w:t>
      </w:r>
    </w:p>
    <w:p>
      <w:pPr>
        <w:spacing w:after="60"/>
        <w:ind w:firstLine="567"/>
        <w:jc w:val="both"/>
      </w:pPr>
      <w:r>
        <w:rPr>
          <w:rFonts w:ascii="Arial" w:cs="Arial" w:eastAsia="Arial" w:hAnsi="Arial"/>
          <w:sz w:val="22"/>
          <w:szCs w:val="22"/>
        </w:rPr>
        <w:t xml:space="preserve">Снижение ВВП российской экономики в 2020 году, с последующим постепенным умеренным ростом в среднесрочной перспективе, повлечет значительное снижение в 2020 году притока денежных переводов физических лиц, осуществляемых через систему переводов, что негативно отразится на частном потреблении, что в свою очередь окажет влияние на сферу услуг и строительный сектор в целом.</w:t>
      </w:r>
    </w:p>
    <w:p>
      <w:pPr>
        <w:spacing w:after="60" w:before="200"/>
        <w:ind w:firstLine="567"/>
        <w:jc w:val="both"/>
      </w:pPr>
      <w:r>
        <w:rPr>
          <w:rFonts w:ascii="Arial" w:cs="Arial" w:eastAsia="Arial" w:hAnsi="Arial"/>
          <w:b/>
          <w:bCs/>
          <w:sz w:val="22"/>
          <w:szCs w:val="22"/>
        </w:rPr>
        <w:t xml:space="preserve">Рис. 7. Темпы поминального роста денежных переводов в Кыргызскую Республику и темпы прироста ВВП Российской Федерации, в %</w:t>
      </w:r>
    </w:p>
    <w:p>
      <w:pPr>
        <w:spacing w:after="200" w:before="200"/>
        <w:ind w:firstLine="567"/>
        <w:jc w:val="both"/>
      </w:pPr>
      <w:r>
        <w:rPr>
          <w:rFonts w:ascii="Arial" w:cs="Arial" w:eastAsia="Arial" w:hAnsi="Arial"/>
          <w:b/>
          <w:bCs/>
          <w:sz w:val="22"/>
          <w:szCs w:val="22"/>
        </w:rPr>
        <w:t xml:space="preserve">Рис. 8. Темпы прироста оптовой торговли, частного потребления и денежных переводов, в %</w:t>
      </w:r>
    </w:p>
    <w:p>
      <w:pPr>
        <w:spacing w:after="60"/>
        <w:ind w:firstLine="567"/>
        <w:jc w:val="both"/>
      </w:pPr>
      <w:r>
        <w:rPr>
          <w:rFonts w:ascii="Arial" w:cs="Arial" w:eastAsia="Arial" w:hAnsi="Arial"/>
          <w:sz w:val="22"/>
          <w:szCs w:val="22"/>
        </w:rPr>
        <w:t xml:space="preserve">Прогнозируется, что положение на международных рынках зерновых сохранится на сбалансированном и достаточном уровне по сравнению с сезоном 2018-2019 годов, несмотря на беспокойство в связи с последствиями пандемии COVID-19. Существуют локальные перебои, связанные с логистическими проблемами, которые создают проблемы в продовольственных производственно-сбытовых цепочках на некоторых рынках. Предложение на международных рынках зерновых в сезоне 2019-2020 годов сохранится на достаточном уровне по отношению к соответствующему сезону.</w:t>
      </w:r>
    </w:p>
    <w:p>
      <w:pPr>
        <w:spacing w:after="60"/>
        <w:ind w:firstLine="567"/>
        <w:jc w:val="both"/>
      </w:pPr>
      <w:r>
        <w:rPr>
          <w:rFonts w:ascii="Arial" w:cs="Arial" w:eastAsia="Arial" w:hAnsi="Arial"/>
          <w:sz w:val="22"/>
          <w:szCs w:val="22"/>
        </w:rPr>
        <w:t xml:space="preserve">Мировое производство зерновых в 2020 году, по прогнозу ФАО(9), в связи с более благоприятными видами на урожай благодаря обильным осадкам в предыдущий период и благоприятным погодным прогнозам на оставшуюся часть сезона, может превысить рекордный уровень 2019 года практически на 3,0%. Прогноз ФАО в отношении мирового производства зерновых в 2020 году был пересмотрен в этом месяце в сторону повышения на 9,3 млн. тонн и в настоящее время составляет почти 2 790 млн. тонн.</w:t>
      </w:r>
    </w:p>
    <w:p>
      <w:pPr>
        <w:spacing w:after="60"/>
        <w:ind w:firstLine="567"/>
        <w:jc w:val="both"/>
      </w:pPr>
      <w:r>
        <w:rPr>
          <w:rFonts w:ascii="Arial" w:cs="Arial" w:eastAsia="Arial" w:hAnsi="Arial"/>
          <w:sz w:val="22"/>
          <w:szCs w:val="22"/>
        </w:rPr>
        <w:t xml:space="preserve">Прогноз общемирового потребления зерновых в сезоне 2020-2021 годов также был повышен до 2735 млн. тонн, что на 43 млн. тонн (1,6%) выше уровня сезона 2019-2020 годов. По сравнению с предыдущим месяцем текущий прогноз ФАО в отношении мировых запасов зерна на конец сезона 2021 года был повышен на 2 млн. тонн, до 929 млн. тонн, что на 52,3 млн. тонн (6,0%) выше показателей предыдущего года. На таком уровне соотношение мировых запасов зерна и его потребления в сезоне 2020-2021 годов достигнет максимального уровня за последние двадцать лет и составит 33,0%, что свидетельствует о благоприятных перспективах предложения в новом сезоне.</w:t>
      </w:r>
    </w:p>
    <w:p>
      <w:pPr>
        <w:spacing w:after="60"/>
        <w:ind w:firstLine="567"/>
        <w:jc w:val="both"/>
      </w:pPr>
      <w:r>
        <w:rPr>
          <w:rFonts w:ascii="Arial" w:cs="Arial" w:eastAsia="Arial" w:hAnsi="Arial"/>
          <w:sz w:val="22"/>
          <w:szCs w:val="22"/>
        </w:rPr>
        <w:t xml:space="preserve">Согласно последнему прогнозу ФАО, объем мировой торговли зерном в сезоне 2020-2021 годов составит 435,0 млн. тонн, что на 9,0 млн. тонн (2,1%) больше, чем в сезоне 2019-2020 годов, и является новым рекордным показателем.</w:t>
      </w:r>
    </w:p>
    <w:p>
      <w:pPr>
        <w:spacing w:after="60"/>
        <w:ind w:firstLine="567"/>
        <w:jc w:val="both"/>
      </w:pPr>
      <w:r>
        <w:rPr>
          <w:rFonts w:ascii="Arial" w:cs="Arial" w:eastAsia="Arial" w:hAnsi="Arial"/>
          <w:sz w:val="22"/>
          <w:szCs w:val="22"/>
        </w:rPr>
        <w:t xml:space="preserve">Сохраняется относительно стабильная ценовая ситуация на мировых продовольственных рынках, некоторое снижение цен обусловлено, главным образом, факторами в области спроса, а не предложения, а на факторы спроса влияют все более ухудшающиеся перспективы в экономике.</w:t>
      </w:r>
    </w:p>
    <w:p>
      <w:pPr>
        <w:spacing w:after="200" w:before="200"/>
        <w:ind w:firstLine="567"/>
        <w:jc w:val="both"/>
      </w:pPr>
      <w:r>
        <w:rPr>
          <w:rFonts w:ascii="Arial" w:cs="Arial" w:eastAsia="Arial" w:hAnsi="Arial"/>
          <w:b/>
          <w:bCs/>
          <w:sz w:val="22"/>
          <w:szCs w:val="22"/>
        </w:rPr>
        <w:t xml:space="preserve">Рис. 9. Индекс цен на продовольствие Продовольственной и сельскохозяйственной организации ООН (ФАО) (2020-2023 гг., 2014-2016=100), пункты</w:t>
      </w:r>
    </w:p>
    <w:p>
      <w:pPr>
        <w:spacing w:after="60"/>
        <w:ind w:firstLine="567"/>
        <w:jc w:val="both"/>
      </w:pPr>
      <w:r>
        <w:rPr>
          <w:rFonts w:ascii="Arial" w:cs="Arial" w:eastAsia="Arial" w:hAnsi="Arial"/>
          <w:sz w:val="22"/>
          <w:szCs w:val="22"/>
        </w:rPr>
        <w:t xml:space="preserve">Основными рисками для мировой экономики будут оставаться геополитические риски (США все больше вовлекаются в стратегическое соперничество с четырьмя державами: Китаем, Россией, Ираном и Северной Кореей. 2020 год может стать для них критическим из-за президентских выборов в Америке и возможных изменений во внешней политике страны), эскалация торговой войны США и Китая (сделка первого этапа завершения торговой войны является всего лишь "временным явлением". Двухсторонняя холодная война за технологии, данные, инвестиции, валюту и финансы уже обостряется, риск усиления конфронтации между США и Китаем сохраняется), возможность возникновения нового торгового конфликта, в котором главными игроками станут Вашингтон и Брюссель, глобальная экономическая рецессия (проблемы в развивающихся экономиках - на фоне оттока капитала есть риски падения валюты развивающихся рынков, что усугубит проблему задолженности компаний и закрутит спираль глобального кризиса), рост неопределенности на товарно-сырьевых рынках и др. - все это может радикально изменить ситуацию на рынках.</w:t>
      </w:r>
    </w:p>
    <w:p>
      <w:pPr>
        <w:spacing w:after="60"/>
        <w:ind w:firstLine="567"/>
        <w:jc w:val="both"/>
      </w:pPr>
      <w:r>
        <w:rPr>
          <w:rFonts w:ascii="Arial" w:cs="Arial" w:eastAsia="Arial" w:hAnsi="Arial"/>
          <w:sz w:val="22"/>
          <w:szCs w:val="22"/>
        </w:rPr>
        <w:t xml:space="preserve">Возникшая вспышка COVID-19 придала новый импульс (эпидемия может быть более серьезной, чем ожидается в настоящее время, и замедление роста китайской экономики будет иметь побочные эффекты для мировых цепочек поставок). Последствия борьбы с коронавирусом ведут к снижению темпов глобальной экономики.</w:t>
      </w:r>
    </w:p>
    <w:p>
      <w:pPr>
        <w:spacing w:after="60"/>
        <w:ind w:firstLine="567"/>
        <w:jc w:val="both"/>
      </w:pPr>
      <w:r>
        <w:rPr>
          <w:rFonts w:ascii="Arial" w:cs="Arial" w:eastAsia="Arial" w:hAnsi="Arial"/>
          <w:sz w:val="22"/>
          <w:szCs w:val="22"/>
        </w:rPr>
        <w:t xml:space="preserve">Негативное влияние на уверенность, финансовые рынки и сферу туризма, а также сбои в цепях поставок внесли свой вклад в понижение прогноза многих экономик.</w:t>
      </w:r>
    </w:p>
    <w:p>
      <w:pPr>
        <w:spacing w:after="60" w:before="200"/>
        <w:ind w:firstLine="567"/>
        <w:jc w:val="both"/>
      </w:pPr>
      <w:r>
        <w:rPr>
          <w:rFonts w:ascii="Arial" w:cs="Arial" w:eastAsia="Arial" w:hAnsi="Arial"/>
          <w:b/>
          <w:bCs/>
          <w:sz w:val="22"/>
          <w:szCs w:val="22"/>
        </w:rPr>
        <w:t xml:space="preserve">Внутренние условия</w:t>
      </w:r>
    </w:p>
    <w:p>
      <w:pPr>
        <w:spacing w:after="60"/>
        <w:ind w:firstLine="567"/>
        <w:jc w:val="both"/>
      </w:pPr>
      <w:r>
        <w:rPr>
          <w:rFonts w:ascii="Arial" w:cs="Arial" w:eastAsia="Arial" w:hAnsi="Arial"/>
          <w:sz w:val="22"/>
          <w:szCs w:val="22"/>
        </w:rPr>
        <w:t xml:space="preserve">Введенные ограничения на границе с соседними странами привели к сокращению внешнего спроса и предложения, а принятие необходимых мер по сдерживанию распространения коронавирусной инфекции (введение чрезвычайной ситуации и чрезвычайного положения в отдельных территориях страны) привело к стремительному снижению экономической активности (была приостановлена практически в полном объеме работа малого и среднего бизнеса, строительства, а также ряда предприятий промышленного производства), установление блокпостов - к возникновению проблем с перевозками грузов и пассажиров, ограничению торговли, в самом уязвимом положении оказалась сфера услуг. По отчету, опубликованному Компанией Google, активность в сфере услуг в марте-апреле 2020 года упала на 62-76%. Наиболее затронутыми оказываются туристические и гостиничные услуги, авиа- и железнодорожные перевозки, оптовая и розничная торговля, общественное питание. В других секторах экономики негативные последствия связаны со снижением промежуточного сброса за счет нарушения производственных цепочек.</w:t>
      </w:r>
    </w:p>
    <w:p>
      <w:pPr>
        <w:spacing w:after="60"/>
        <w:ind w:firstLine="567"/>
        <w:jc w:val="both"/>
      </w:pPr>
      <w:r>
        <w:rPr>
          <w:rFonts w:ascii="Arial" w:cs="Arial" w:eastAsia="Arial" w:hAnsi="Arial"/>
          <w:sz w:val="22"/>
          <w:szCs w:val="22"/>
        </w:rPr>
        <w:t xml:space="preserve">В свою очередь, столь существенное снижение производственной активности, приводящее к сокращению прибыли хозяйствующих субъектов, постоянному или временному высвобождению работающего персонала, снижению доходов населения и росту кредитной задолженности, оказывает сдерживающее влияние на потребительский спрос.</w:t>
      </w:r>
    </w:p>
    <w:p>
      <w:pPr>
        <w:spacing w:after="60"/>
        <w:ind w:firstLine="567"/>
        <w:jc w:val="both"/>
      </w:pPr>
      <w:r>
        <w:rPr>
          <w:rFonts w:ascii="Arial" w:cs="Arial" w:eastAsia="Arial" w:hAnsi="Arial"/>
          <w:sz w:val="22"/>
          <w:szCs w:val="22"/>
        </w:rPr>
        <w:t xml:space="preserve">Указанные обстоятельства неизбежно оказывают понижательное давление на доходные составляющие бюджета. В целях поддержки наиболее пострадавших секторов экономики, субъектов малого и среднего бизнеса принят необходимый комплекс фискальных мер. Из-за увеличения непредвиденных расходов по борьбе с эпидемией, присутствует риск сокращения капитальных вложений на реализацию крупных инвестиционных проектов в энергетике, ирригации, дорожно-транспортной сфере, закрепленных в Программе деятельности Правительства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Жогорку Кенеша Кыргызской Республики от 17 июня 2020 года № 3876-VI).</w:t>
      </w:r>
    </w:p>
    <w:p>
      <w:pPr>
        <w:spacing w:after="60"/>
        <w:ind w:firstLine="567"/>
        <w:jc w:val="both"/>
      </w:pPr>
      <w:r>
        <w:rPr>
          <w:rFonts w:ascii="Arial" w:cs="Arial" w:eastAsia="Arial" w:hAnsi="Arial"/>
          <w:sz w:val="22"/>
          <w:szCs w:val="22"/>
        </w:rPr>
        <w:t xml:space="preserve">Таким образом, на фоне указанных факторов, а также предпринимаемых Правительством отдельных мер по борьбе с распространением коронавируса (закрытие границы, авиасообщений, торговых и развлекательных заведений, игровых клубов и т.д.) замедляется деловая и инвестиционная активность экономической деятельности.</w:t>
      </w:r>
    </w:p>
    <w:p>
      <w:pPr>
        <w:spacing w:after="60"/>
        <w:ind w:firstLine="567"/>
        <w:jc w:val="both"/>
      </w:pPr>
      <w:r>
        <w:rPr>
          <w:rFonts w:ascii="Arial" w:cs="Arial" w:eastAsia="Arial" w:hAnsi="Arial"/>
          <w:sz w:val="22"/>
          <w:szCs w:val="22"/>
        </w:rPr>
        <w:t xml:space="preserve">Дальнейшее продолжение наблюдающейся ситуации может нести следующие макроэкономические риски:</w:t>
      </w:r>
    </w:p>
    <w:p>
      <w:pPr>
        <w:spacing w:after="60"/>
        <w:ind w:firstLine="567"/>
        <w:jc w:val="both"/>
      </w:pPr>
      <w:r>
        <w:rPr>
          <w:rFonts w:ascii="Arial" w:cs="Arial" w:eastAsia="Arial" w:hAnsi="Arial"/>
          <w:sz w:val="22"/>
          <w:szCs w:val="22"/>
        </w:rPr>
        <w:t xml:space="preserve">- сокращение внешнего спроса и предложения, ухудшение условий торговли со странами - основными торговыми партнерами;</w:t>
      </w:r>
    </w:p>
    <w:p>
      <w:pPr>
        <w:spacing w:after="60"/>
        <w:ind w:firstLine="567"/>
        <w:jc w:val="both"/>
      </w:pPr>
      <w:r>
        <w:rPr>
          <w:rFonts w:ascii="Arial" w:cs="Arial" w:eastAsia="Arial" w:hAnsi="Arial"/>
          <w:sz w:val="22"/>
          <w:szCs w:val="22"/>
        </w:rPr>
        <w:t xml:space="preserve">- сужение внутреннего спроса из-за замедления экономической активности, обусловленного сокращением притока инвестиций и денежных переводов трудовых мигрантов (суммы расходов на конечное потребление и валовое накопление);</w:t>
      </w:r>
    </w:p>
    <w:p>
      <w:pPr>
        <w:spacing w:after="60"/>
        <w:ind w:firstLine="567"/>
        <w:jc w:val="both"/>
      </w:pPr>
      <w:r>
        <w:rPr>
          <w:rFonts w:ascii="Arial" w:cs="Arial" w:eastAsia="Arial" w:hAnsi="Arial"/>
          <w:sz w:val="22"/>
          <w:szCs w:val="22"/>
        </w:rPr>
        <w:t xml:space="preserve">- замедление экономики, и как следствие, снижение деловой активности и отсутствие финансирования экономического роста. Осложнение ситуации на мировых финансовых рынках может создать препятствия в поступлении внешних заимствований, либо привести к удорожанию стоимости привлекаемых ресурсов;</w:t>
      </w:r>
    </w:p>
    <w:p>
      <w:pPr>
        <w:spacing w:after="60"/>
        <w:ind w:firstLine="567"/>
        <w:jc w:val="both"/>
      </w:pPr>
      <w:r>
        <w:rPr>
          <w:rFonts w:ascii="Arial" w:cs="Arial" w:eastAsia="Arial" w:hAnsi="Arial"/>
          <w:sz w:val="22"/>
          <w:szCs w:val="22"/>
        </w:rPr>
        <w:t xml:space="preserve">- рост количества временно высвобождаемых трудовых ресурсов в стране, увеличение количества безработных из-за увеличения потока возвращающихся трудовых мигрантов;</w:t>
      </w:r>
    </w:p>
    <w:p>
      <w:pPr>
        <w:spacing w:after="60"/>
        <w:ind w:firstLine="567"/>
        <w:jc w:val="both"/>
      </w:pPr>
      <w:r>
        <w:rPr>
          <w:rFonts w:ascii="Arial" w:cs="Arial" w:eastAsia="Arial" w:hAnsi="Arial"/>
          <w:sz w:val="22"/>
          <w:szCs w:val="22"/>
        </w:rPr>
        <w:t xml:space="preserve">- риск повышения цен и уровня инфляции (поскольку большинство товаров, имеющихся в потребительской корзине, составляют импортные товары), что в свою очередь приведет к увеличению себестоимости затрат в секторах экономики;</w:t>
      </w:r>
    </w:p>
    <w:p>
      <w:pPr>
        <w:spacing w:after="60"/>
        <w:ind w:firstLine="567"/>
        <w:jc w:val="both"/>
      </w:pPr>
      <w:r>
        <w:rPr>
          <w:rFonts w:ascii="Arial" w:cs="Arial" w:eastAsia="Arial" w:hAnsi="Arial"/>
          <w:sz w:val="22"/>
          <w:szCs w:val="22"/>
        </w:rPr>
        <w:t xml:space="preserve">- увеличение дефицита государственного бюджета Кыргызской Республики вследствие:</w:t>
      </w:r>
    </w:p>
    <w:p>
      <w:pPr>
        <w:spacing w:after="60"/>
        <w:ind w:firstLine="567"/>
        <w:jc w:val="both"/>
      </w:pPr>
      <w:r>
        <w:rPr>
          <w:rFonts w:ascii="Arial" w:cs="Arial" w:eastAsia="Arial" w:hAnsi="Arial"/>
          <w:sz w:val="22"/>
          <w:szCs w:val="22"/>
        </w:rPr>
        <w:t xml:space="preserve">- увеличения расходов на реализацию мер по борьбе с коронавирусом; пополнения государственных запасов продовольствия для обеспечения продовольственной безопасности; поддержки предпринимательства за счет ввода отдельных льгот по налогообложению;</w:t>
      </w:r>
    </w:p>
    <w:p>
      <w:pPr>
        <w:spacing w:after="60"/>
        <w:ind w:firstLine="567"/>
        <w:jc w:val="both"/>
      </w:pPr>
      <w:r>
        <w:rPr>
          <w:rFonts w:ascii="Arial" w:cs="Arial" w:eastAsia="Arial" w:hAnsi="Arial"/>
          <w:sz w:val="22"/>
          <w:szCs w:val="22"/>
        </w:rPr>
        <w:t xml:space="preserve">- сокращения потенциальных кредитных и грантовых поступлений при сохранении прежнего уровня социальных расходов;</w:t>
      </w:r>
    </w:p>
    <w:p>
      <w:pPr>
        <w:spacing w:after="60"/>
        <w:ind w:firstLine="567"/>
        <w:jc w:val="both"/>
      </w:pPr>
      <w:r>
        <w:rPr>
          <w:rFonts w:ascii="Arial" w:cs="Arial" w:eastAsia="Arial" w:hAnsi="Arial"/>
          <w:sz w:val="22"/>
          <w:szCs w:val="22"/>
        </w:rPr>
        <w:t xml:space="preserve">- увеличения расходной части бюджета и роста объемов внешнего государственного долга.</w:t>
      </w:r>
    </w:p>
    <w:p>
      <w:pPr>
        <w:spacing w:after="60"/>
        <w:ind w:firstLine="567"/>
        <w:jc w:val="both"/>
      </w:pPr>
      <w:r>
        <w:rPr>
          <w:rFonts w:ascii="Arial" w:cs="Arial" w:eastAsia="Arial" w:hAnsi="Arial"/>
          <w:sz w:val="22"/>
          <w:szCs w:val="22"/>
        </w:rPr>
        <w:t xml:space="preserve">Кроме того, в экономике страны будут оставаться следующие риски:</w:t>
      </w:r>
    </w:p>
    <w:p>
      <w:pPr>
        <w:spacing w:after="60"/>
        <w:ind w:firstLine="567"/>
        <w:jc w:val="both"/>
      </w:pPr>
      <w:r>
        <w:rPr>
          <w:rFonts w:ascii="Arial" w:cs="Arial" w:eastAsia="Arial" w:hAnsi="Arial"/>
          <w:sz w:val="22"/>
          <w:szCs w:val="22"/>
        </w:rPr>
        <w:t xml:space="preserve">- сохранение низкой степени диверсифицированности экономики и выраженная сырьевая направленность экспорта будут способствовать консервации текущей модели развития, для преодоления которой необходимы значительные ресурсы и стимулы;</w:t>
      </w:r>
    </w:p>
    <w:p>
      <w:pPr>
        <w:spacing w:after="60"/>
        <w:ind w:firstLine="567"/>
        <w:jc w:val="both"/>
      </w:pPr>
      <w:r>
        <w:rPr>
          <w:rFonts w:ascii="Arial" w:cs="Arial" w:eastAsia="Arial" w:hAnsi="Arial"/>
          <w:sz w:val="22"/>
          <w:szCs w:val="22"/>
        </w:rPr>
        <w:t xml:space="preserve">- высокий уровень неформальной экономики (по данным Национального статистического комитета Кыргызской Республики за 2018 год составил 23,4%);</w:t>
      </w:r>
    </w:p>
    <w:p>
      <w:pPr>
        <w:spacing w:after="60"/>
        <w:ind w:firstLine="567"/>
        <w:jc w:val="both"/>
      </w:pPr>
      <w:r>
        <w:rPr>
          <w:rFonts w:ascii="Arial" w:cs="Arial" w:eastAsia="Arial" w:hAnsi="Arial"/>
          <w:sz w:val="22"/>
          <w:szCs w:val="22"/>
        </w:rPr>
        <w:t xml:space="preserve">- сохранение высокого уровня государственного долга, который может ограничивать возможности фискального стимулирования, соответственно, бюджетный дефицит будет влиять на дальнейшей рост государственного долга.</w:t>
      </w:r>
    </w:p>
    <w:p>
      <w:pPr>
        <w:spacing w:after="60"/>
        <w:ind w:firstLine="567"/>
        <w:jc w:val="both"/>
      </w:pPr>
      <w:r>
        <w:rPr>
          <w:rFonts w:ascii="Arial" w:cs="Arial" w:eastAsia="Arial" w:hAnsi="Arial"/>
          <w:sz w:val="22"/>
          <w:szCs w:val="22"/>
        </w:rPr>
        <w:t xml:space="preserve">В 2020 году в целом ожидается некоторый застой, с последующим восстановлением с 2021 года тренда роста в основных макроэкономических показателях как внутри страны, так и во внешней среде.</w:t>
      </w:r>
    </w:p>
    <w:p>
      <w:pPr>
        <w:spacing w:after="200" w:before="200"/>
        <w:jc w:val="center"/>
      </w:pPr>
      <w:r>
        <w:rPr>
          <w:rFonts w:ascii="Arial" w:cs="Arial" w:eastAsia="Arial" w:hAnsi="Arial"/>
          <w:b/>
          <w:bCs/>
          <w:sz w:val="22"/>
          <w:szCs w:val="22"/>
        </w:rPr>
        <w:t xml:space="preserve">5. Макроэкономические показатели, ожидаемые в 2020 году</w:t>
      </w:r>
    </w:p>
    <w:p>
      <w:pPr>
        <w:spacing w:after="60"/>
        <w:ind w:firstLine="567"/>
        <w:jc w:val="both"/>
      </w:pPr>
      <w:r>
        <w:rPr>
          <w:rFonts w:ascii="Arial" w:cs="Arial" w:eastAsia="Arial" w:hAnsi="Arial"/>
          <w:sz w:val="22"/>
          <w:szCs w:val="22"/>
        </w:rPr>
        <w:t xml:space="preserve">Скорость происходящих событий и неопределенность экономических последствий, связанная с распространением эпидемии COVID-19, обвалом мирового рынка нефтепродуктов и укреплением курса доллара по отношению к другим валютам, привели к пересмотру в сторону снижения основных макроэкономических параметров на 2020 год.</w:t>
      </w:r>
    </w:p>
    <w:p>
      <w:pPr>
        <w:spacing w:after="60"/>
        <w:ind w:firstLine="567"/>
        <w:jc w:val="both"/>
      </w:pPr>
      <w:r>
        <w:rPr>
          <w:rFonts w:ascii="Arial" w:cs="Arial" w:eastAsia="Arial" w:hAnsi="Arial"/>
          <w:sz w:val="22"/>
          <w:szCs w:val="22"/>
        </w:rPr>
        <w:t xml:space="preserve">Введение чрезвычайной ситуации, затем чрезвычайного положения на отельных территориях (гор. Бишкек, Ош и Джалал-Абад, Нарын, Ноокатский и Кара-Суйский районы Ошской области, Сузакский район Джалал-Абадской области, Ат-Башинский район Нарынской области) привели к остановке многих объектов предпринимательства на этих территориях, а в других, из-за блокпостов, - к ограничению движения, что задерживало грузоперевозки. Была приостановлена работа общественного транспорта и такси. В самом уязвимом положении оказалась сфера услуг.</w:t>
      </w:r>
    </w:p>
    <w:p>
      <w:pPr>
        <w:spacing w:after="60"/>
        <w:ind w:firstLine="567"/>
        <w:jc w:val="both"/>
      </w:pPr>
      <w:r>
        <w:rPr>
          <w:rFonts w:ascii="Arial" w:cs="Arial" w:eastAsia="Arial" w:hAnsi="Arial"/>
          <w:sz w:val="22"/>
          <w:szCs w:val="22"/>
        </w:rPr>
        <w:t xml:space="preserve">В связи с введением чрезвычайного положения и установкой санитарных блокпостов сложилась сложная ситуация для отдельных промышленных предприятий, поскольку порядка 65-70% малых и средних предприятий территориально расположены в черте, где было введено чрезвычайное положение, и многие работники приезжают из других населенных пунктов. На указанных территориях основную долю занимает производство пищевых продуктов, швейных и текстильных изделий, строительных материалов, металлических руд, нефтепродуктов.</w:t>
      </w:r>
    </w:p>
    <w:p>
      <w:pPr>
        <w:spacing w:after="60"/>
        <w:ind w:firstLine="567"/>
        <w:jc w:val="both"/>
      </w:pPr>
      <w:r>
        <w:rPr>
          <w:rFonts w:ascii="Arial" w:cs="Arial" w:eastAsia="Arial" w:hAnsi="Arial"/>
          <w:sz w:val="22"/>
          <w:szCs w:val="22"/>
        </w:rPr>
        <w:t xml:space="preserve">В таких условиях, в связи с ведением чрезвычайной ситуации/положения, в целях предотвращения дальнейшего распространения коронавирусной инфекции COVID-19, а также сложившейся нестабильности на нефтяном и валютном рынках основных торговых партнеров Кыргызской Республики, Правительством совместно с НБКР принимаются безотлагательные меры поддержки и стимулирования экономики для стабилизации экономики и обеспечения сбалансированности и стабильности бюджета страны.</w:t>
      </w:r>
    </w:p>
    <w:p>
      <w:pPr>
        <w:spacing w:after="60"/>
        <w:ind w:firstLine="567"/>
        <w:jc w:val="both"/>
      </w:pPr>
      <w:r>
        <w:rPr>
          <w:rFonts w:ascii="Arial" w:cs="Arial" w:eastAsia="Arial" w:hAnsi="Arial"/>
          <w:sz w:val="22"/>
          <w:szCs w:val="22"/>
        </w:rPr>
        <w:t xml:space="preserve">В целях снижения негативного влияния на национальную экономику в связи с распространением вируса COVID-19 приняты:</w:t>
      </w:r>
    </w:p>
    <w:p>
      <w:pPr>
        <w:spacing w:after="60"/>
        <w:ind w:firstLine="567"/>
        <w:jc w:val="both"/>
      </w:pPr>
      <w:r>
        <w:rPr>
          <w:rFonts w:ascii="Arial" w:cs="Arial" w:eastAsia="Arial" w:hAnsi="Arial"/>
          <w:sz w:val="22"/>
          <w:szCs w:val="22"/>
        </w:rPr>
        <w:t xml:space="preserve">- План первоочередных мероприятий по минимизации последствий от внешних шоков (Решение Республиканского штаба по реализации экономических мер, направленных на минимизацию последствий от внешних шоков и стимулирование экономического развития, от 7 марта 2020 года);</w:t>
      </w:r>
    </w:p>
    <w:p>
      <w:pPr>
        <w:spacing w:after="60"/>
        <w:ind w:firstLine="567"/>
        <w:jc w:val="both"/>
      </w:pPr>
      <w:r>
        <w:rPr>
          <w:rFonts w:ascii="Arial" w:cs="Arial" w:eastAsia="Arial" w:hAnsi="Arial"/>
          <w:sz w:val="22"/>
          <w:szCs w:val="22"/>
        </w:rPr>
        <w:t xml:space="preserve">- План первоочередных мер Правительства Кыргызской Республики на 2020 год по снижению негативного влияния на экономическую и социальную стабильность в связи с распространением вируса COVID-19 (распоряжение Премьер-министра Кыргызской Республики от 30 марта 2020 года № 186);</w:t>
      </w:r>
    </w:p>
    <w:p>
      <w:pPr>
        <w:spacing w:after="60"/>
        <w:ind w:firstLine="567"/>
        <w:jc w:val="both"/>
      </w:pPr>
      <w:r>
        <w:rPr>
          <w:rFonts w:ascii="Arial" w:cs="Arial" w:eastAsia="Arial" w:hAnsi="Arial"/>
          <w:sz w:val="22"/>
          <w:szCs w:val="22"/>
        </w:rPr>
        <w:t xml:space="preserve">- План действий Правительства Кыргызской Республики на 2020 год по восстановлению экономической активности и поддержке деятельности субъектов предпринимательства (распоряжение Правительства Кыргызской Республики от 6 мая 2020 года № 162-р);</w:t>
      </w:r>
    </w:p>
    <w:p>
      <w:pPr>
        <w:spacing w:after="60"/>
        <w:ind w:firstLine="567"/>
        <w:jc w:val="both"/>
      </w:pPr>
      <w:r>
        <w:rPr>
          <w:rFonts w:ascii="Arial" w:cs="Arial" w:eastAsia="Arial" w:hAnsi="Arial"/>
          <w:sz w:val="22"/>
          <w:szCs w:val="22"/>
        </w:rPr>
        <w:t xml:space="preserve">- Программа "Финансирование субъектов предпринимательства" в целях восстановления и обеспечения экономической и социальной стабильности, поддержки субъектов предпринимательской деятельности в условиях распространения COVID-19 (постановление Правительства Кыргызской Республики от 9 июня 2020 года № 315);</w:t>
      </w:r>
    </w:p>
    <w:p>
      <w:pPr>
        <w:spacing w:after="60"/>
        <w:ind w:firstLine="567"/>
        <w:jc w:val="both"/>
      </w:pPr>
      <w:r>
        <w:rPr>
          <w:rFonts w:ascii="Arial" w:cs="Arial" w:eastAsia="Arial" w:hAnsi="Arial"/>
          <w:sz w:val="22"/>
          <w:szCs w:val="22"/>
        </w:rPr>
        <w:t xml:space="preserve">- План действий Правительства Кыргызской Республики на 2020 год по обеспечению социальной стабильности, устойчивости экономики и поддержанию доходов населения (распоряжение Правительства Кыргызской Республики от 13 августа 2020 года № 272-р).</w:t>
      </w:r>
    </w:p>
    <w:p>
      <w:pPr>
        <w:spacing w:after="60"/>
        <w:ind w:firstLine="567"/>
        <w:jc w:val="both"/>
      </w:pPr>
      <w:r>
        <w:rPr>
          <w:rFonts w:ascii="Arial" w:cs="Arial" w:eastAsia="Arial" w:hAnsi="Arial"/>
          <w:sz w:val="22"/>
          <w:szCs w:val="22"/>
        </w:rPr>
        <w:t xml:space="preserve">Основные направления и меры политики на 2020 год будут реализовываться в соответствии с ориентирами, отраженными в Программе деятельности Правительства Кыргызской Республики (постановление Жогорку Кенеша Кыргызской Республики от 17 июня 2020 года № 3876-VI), Национальной стратегии развития Кыргызской Республики на 2018-2040 годы (Указ Президента Кыргызской Республики от 31 октября 2018 года № 221), Основных направлениях денежно-кредитной политики на среднесрочный период (постановление Правления НБКР от 13 декабря 2017 года № 2017-П-07/51-1-(ДКП).</w:t>
      </w:r>
    </w:p>
    <w:p>
      <w:pPr>
        <w:spacing w:after="60"/>
        <w:ind w:firstLine="567"/>
        <w:jc w:val="both"/>
      </w:pPr>
      <w:r>
        <w:rPr>
          <w:rFonts w:ascii="Arial" w:cs="Arial" w:eastAsia="Arial" w:hAnsi="Arial"/>
          <w:sz w:val="22"/>
          <w:szCs w:val="22"/>
        </w:rPr>
        <w:t xml:space="preserve">2020 год объявлен Годом развития регионов, цифровизации страны и поддержки детей. В 2020 году будет продолжена работа по сбалансированному развитию регионов, созданию благоприятной бизнес-среды в рамках реализации Концепции региональной политики Кыргызской Республики на период 2018-2022 годов (постановление </w:t>
      </w:r>
      <w:r>
        <w:rPr>
          <w:rFonts w:ascii="Arial" w:cs="Arial" w:eastAsia="Arial" w:hAnsi="Arial"/>
          <w:sz w:val="22"/>
          <w:szCs w:val="22"/>
        </w:rPr>
        <w:t xml:space="preserve">Правительства Кыргызской Республики от 31 марта 2017 года № 194). Для реализации поставленных задач определены основные конкурентные преимущества каждого региона с учетом их специфики, а также дальнейшее развитие городов - точек роста. Особое внимание будет уделено развитию приграничных территорий. Будут созданы условия в части инфраструктуры и услуг для удовлетворения потребностей граждан, проживающих на данных территориях.</w:t>
      </w:r>
    </w:p>
    <w:p>
      <w:pPr>
        <w:spacing w:after="60"/>
        <w:ind w:firstLine="567"/>
        <w:jc w:val="both"/>
      </w:pPr>
      <w:r>
        <w:rPr>
          <w:rFonts w:ascii="Arial" w:cs="Arial" w:eastAsia="Arial" w:hAnsi="Arial"/>
          <w:sz w:val="22"/>
          <w:szCs w:val="22"/>
        </w:rPr>
        <w:t xml:space="preserve">Также будут выработаны дополнительные и долгосрочные меры поддержки бизнесменов, в том числе понесших убытки вследствие мировой пандемии коронавируса и чрезвычайного положения на отдельных территориях страны.</w:t>
      </w:r>
    </w:p>
    <w:p>
      <w:pPr>
        <w:spacing w:after="60"/>
        <w:ind w:firstLine="567"/>
        <w:jc w:val="both"/>
      </w:pPr>
      <w:r>
        <w:rPr>
          <w:rFonts w:ascii="Arial" w:cs="Arial" w:eastAsia="Arial" w:hAnsi="Arial"/>
          <w:sz w:val="22"/>
          <w:szCs w:val="22"/>
        </w:rPr>
        <w:t xml:space="preserve">Реализация вышеуказанных мер будет служить основой для дальнейшего развития секторов экономики.</w:t>
      </w:r>
    </w:p>
    <w:p>
      <w:pPr>
        <w:spacing w:after="60"/>
        <w:ind w:firstLine="567"/>
        <w:jc w:val="both"/>
      </w:pPr>
      <w:r>
        <w:rPr>
          <w:rFonts w:ascii="Arial" w:cs="Arial" w:eastAsia="Arial" w:hAnsi="Arial"/>
          <w:sz w:val="22"/>
          <w:szCs w:val="22"/>
        </w:rPr>
        <w:t xml:space="preserve">Агропромышленный сектор экономики в условиях влияния распространения коронавирусной инфекции, а также мировой экономической ситуации будет одним из основных секторов экономики в обеспечении продовольственной безопасности страны и занятости населения.</w:t>
      </w:r>
    </w:p>
    <w:p>
      <w:pPr>
        <w:spacing w:after="60"/>
        <w:ind w:firstLine="567"/>
        <w:jc w:val="both"/>
      </w:pPr>
      <w:r>
        <w:rPr>
          <w:rFonts w:ascii="Arial" w:cs="Arial" w:eastAsia="Arial" w:hAnsi="Arial"/>
          <w:sz w:val="22"/>
          <w:szCs w:val="22"/>
        </w:rPr>
        <w:t xml:space="preserve">В целях увеличения доли переработки сельхозпродукции, обеспечения промышленных предприятий сырьем, а также увеличения количества цепочек добавленной стоимости продолжится реализация проекта "Финансирование сельского хозяйства", который направлен на государственную поддержку фермеров и субъектов предпринимательства для своевременного проведения весенних полевых работ и дальнейшего развития животноводства, растениеводства и сельскохозяйственной кооперации.</w:t>
      </w:r>
    </w:p>
    <w:p>
      <w:pPr>
        <w:spacing w:after="60"/>
        <w:ind w:firstLine="567"/>
        <w:jc w:val="both"/>
      </w:pPr>
      <w:r>
        <w:rPr>
          <w:rFonts w:ascii="Arial" w:cs="Arial" w:eastAsia="Arial" w:hAnsi="Arial"/>
          <w:sz w:val="22"/>
          <w:szCs w:val="22"/>
        </w:rPr>
        <w:t xml:space="preserve">Валовой выпуск продукции сельского хозяйства, лесного хозяйства и рыболовства на 2020 год прогнозируется в объеме 233,8 млрд. сомов, а темп реального прироста - на уровне 2,0%, за счет прироста в растениеводстве - на 1,7% и животноводстве - на 2,3%.</w:t>
      </w:r>
    </w:p>
    <w:p>
      <w:pPr>
        <w:spacing w:after="60"/>
        <w:ind w:firstLine="567"/>
        <w:jc w:val="both"/>
      </w:pPr>
      <w:r>
        <w:rPr>
          <w:rFonts w:ascii="Arial" w:cs="Arial" w:eastAsia="Arial" w:hAnsi="Arial"/>
          <w:sz w:val="22"/>
          <w:szCs w:val="22"/>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- 50,8% и 46,8%.</w:t>
      </w:r>
    </w:p>
    <w:p>
      <w:pPr>
        <w:spacing w:after="60"/>
        <w:ind w:firstLine="567"/>
        <w:jc w:val="both"/>
      </w:pPr>
      <w:r>
        <w:rPr>
          <w:rFonts w:ascii="Arial" w:cs="Arial" w:eastAsia="Arial" w:hAnsi="Arial"/>
          <w:sz w:val="22"/>
          <w:szCs w:val="22"/>
        </w:rPr>
        <w:t xml:space="preserve">Прогнозируемые темпы прироста на уровне 1,7% в растениеводстве будут обеспечены за счет повышения урожайности зерновых культур посредством улучшения ирригационной системы и предоставления минеральных удобрений, своевременного проведения весенне-полевых работ, увеличения удельного веса высеваемых кондиционных семян зерновых культур, оптимизации структуры посевных площадей, улучшения сортов семян, улучшения уровня орошаемости. Темп роста, в основном, будет обеспечен за счет увеличения производства:</w:t>
      </w:r>
    </w:p>
    <w:p>
      <w:pPr>
        <w:spacing w:after="60"/>
        <w:ind w:firstLine="567"/>
        <w:jc w:val="both"/>
      </w:pPr>
      <w:r>
        <w:rPr>
          <w:rFonts w:ascii="Arial" w:cs="Arial" w:eastAsia="Arial" w:hAnsi="Arial"/>
          <w:sz w:val="22"/>
          <w:szCs w:val="22"/>
        </w:rPr>
        <w:t xml:space="preserve">- зерновых культур - на 2,6%, за счет увеличения посевной площади на 7,3 тыс. га (1,2%) до 636,1 тыс. га, в целях повышения уровня продовольственной обеспеченности мукой и хлебопродуктами за счет собственного сырья (обеспеченность хлебопродуктами в пересчете на зерно без учета переходящих остатков по итогам 2019 года составила 45,7%);</w:t>
      </w:r>
    </w:p>
    <w:p>
      <w:pPr>
        <w:spacing w:after="60"/>
        <w:ind w:firstLine="567"/>
        <w:jc w:val="both"/>
      </w:pPr>
      <w:r>
        <w:rPr>
          <w:rFonts w:ascii="Arial" w:cs="Arial" w:eastAsia="Arial" w:hAnsi="Arial"/>
          <w:sz w:val="22"/>
          <w:szCs w:val="22"/>
        </w:rPr>
        <w:t xml:space="preserve">- овощей - на 2,2%, за счет повышения урожайности на 8,4%, с 198,7 ц/га до 215,3 ц/га, и бахчевых культур - на 1,7%, за счет повышения урожайности на 0,3%, с 220,6 ц/га до 221,2 ц/га, что обусловлено высоким спросом на данные виды культур в странах СНГ (Казахстан, Россия).</w:t>
      </w:r>
    </w:p>
    <w:p>
      <w:pPr>
        <w:spacing w:after="60"/>
        <w:ind w:firstLine="567"/>
        <w:jc w:val="both"/>
      </w:pPr>
      <w:r>
        <w:rPr>
          <w:rFonts w:ascii="Arial" w:cs="Arial" w:eastAsia="Arial" w:hAnsi="Arial"/>
          <w:sz w:val="22"/>
          <w:szCs w:val="22"/>
        </w:rPr>
        <w:t xml:space="preserve">Наряду с этим, неблагоприятные погодные условия, наблюдавшиеся в период проведения посевной кампании и цветения плодово-ягодных растений, а также изменения условий оплаты по договорам между фермерами-свекловодами и заводами-переработчиками свеклосырья со стороны ОАО "Кошой" и ОАО "Каиынды Кант" обуславливают снижение производства сахарной свеклы на 43,3%, за счет снижения посевной площади на 6,2 тыс., до 8,2 тыс. га; замедления производства плодов и ягод до 0,9% (рост производства за 2018-2019 годы в среднем на 6,0%). Кроме того, снижены посевные площади под картофель на 8,2 тыс. га (на 10,4%), до 71,0 тыс. га, что связано с перепроизводством данного вида продукции в предыдущие периоды, под масличные культуры - на 0,6 тыс. га (на 2,3%), до 25,4 тыс. га, хлопок - на 2,9 тыс. га (на 11,9%), до 21,5 тыс. га из-за нерентабельности производства и снижения мирового спроса на них.</w:t>
      </w:r>
    </w:p>
    <w:p>
      <w:pPr>
        <w:spacing w:after="60"/>
        <w:ind w:firstLine="567"/>
        <w:jc w:val="both"/>
      </w:pPr>
      <w:r>
        <w:rPr>
          <w:rFonts w:ascii="Arial" w:cs="Arial" w:eastAsia="Arial" w:hAnsi="Arial"/>
          <w:sz w:val="22"/>
          <w:szCs w:val="22"/>
        </w:rPr>
        <w:t xml:space="preserve">В производстве продукции животноводства реальный прирост на уровне 2,3% будет обеспечен путем сохранения благополучной эпизоотической ситуации в стране, увеличения поголовья скота, улучшения генофонда племенных животных и работы по воспроизводству стада; рационального использования пастбищ, повышения селекционно-племенной работы за счет расширения сети зооветсервисов и ветеринарных служб, создания инфраструктуры (пункты искусственного осеменения, проведения идентификации животных, создания кормовой базы для увеличения показателей эффективности скота и птицы). При этом рост производства мяса в живом весе прогнозируется на 2,3% и увеличится, по сравнению с предыдущим годом, на 9,5 тыс. тонн, молока - на 2,3%, с увеличением на 37,4 тыс. тонн, яиц - на 3,8%, с увеличением на 21,3 млн. штук и шерсти - на 1,6%, с увеличением на 0,2 тыс. тонн.</w:t>
      </w:r>
    </w:p>
    <w:p>
      <w:pPr>
        <w:spacing w:after="60"/>
        <w:ind w:firstLine="567"/>
        <w:jc w:val="both"/>
      </w:pPr>
      <w:r>
        <w:rPr>
          <w:rFonts w:ascii="Arial" w:cs="Arial" w:eastAsia="Arial" w:hAnsi="Arial"/>
          <w:sz w:val="22"/>
          <w:szCs w:val="22"/>
        </w:rPr>
        <w:t xml:space="preserve">На формирование умеренного роста объемов производства в сельском хозяйстве в 2020 году влияют следующие факторы:</w:t>
      </w:r>
    </w:p>
    <w:p>
      <w:pPr>
        <w:spacing w:after="60"/>
        <w:ind w:firstLine="567"/>
        <w:jc w:val="both"/>
      </w:pPr>
      <w:r>
        <w:rPr>
          <w:rFonts w:ascii="Arial" w:cs="Arial" w:eastAsia="Arial" w:hAnsi="Arial"/>
          <w:sz w:val="22"/>
          <w:szCs w:val="22"/>
        </w:rPr>
        <w:t xml:space="preserve">- ожидаемый период маловодья, прогнозируемый Агентством по гидрометеорологии при Министерстве чрезвычайных ситуаций Кыргызской Республики, повлияет на урожайность в сторону снижения;</w:t>
      </w:r>
    </w:p>
    <w:p>
      <w:pPr>
        <w:spacing w:after="60"/>
        <w:ind w:firstLine="567"/>
        <w:jc w:val="both"/>
      </w:pPr>
      <w:r>
        <w:rPr>
          <w:rFonts w:ascii="Arial" w:cs="Arial" w:eastAsia="Arial" w:hAnsi="Arial"/>
          <w:sz w:val="22"/>
          <w:szCs w:val="22"/>
        </w:rPr>
        <w:t xml:space="preserve">- задержка выдачи сельхозтехники в лизинг по линии ОАО "Айыл Банк", что оказывает влияние на ход посевной кампании;</w:t>
      </w:r>
    </w:p>
    <w:p>
      <w:pPr>
        <w:spacing w:after="60"/>
        <w:ind w:firstLine="567"/>
        <w:jc w:val="both"/>
      </w:pPr>
      <w:r>
        <w:rPr>
          <w:rFonts w:ascii="Arial" w:cs="Arial" w:eastAsia="Arial" w:hAnsi="Arial"/>
          <w:sz w:val="22"/>
          <w:szCs w:val="22"/>
        </w:rPr>
        <w:t xml:space="preserve">- позднее начало выдачи льготных кредитов по программе "ФСХ-8", что не позволило в начале проведения весенних полевых работ обеспечить сельских товаропроизводителей необходимыми объемами семян, удобрений, горюче-смазочных материалов, запасными частями к сельхозтехнике и т.д. для проведения посевной кампании;</w:t>
      </w:r>
    </w:p>
    <w:p>
      <w:pPr>
        <w:spacing w:after="60"/>
        <w:ind w:firstLine="567"/>
        <w:jc w:val="both"/>
      </w:pPr>
      <w:r>
        <w:rPr>
          <w:rFonts w:ascii="Arial" w:cs="Arial" w:eastAsia="Arial" w:hAnsi="Arial"/>
          <w:sz w:val="22"/>
          <w:szCs w:val="22"/>
        </w:rPr>
        <w:t xml:space="preserve">- повышение цен на минеральные удобрения в связи с ростом обменного курса доллара США и трудностью доставки. Это негативно сказалось на обеспечении мелких фермерских хозяйств удобрениями в достаточных объемах для соблюдения агротехники возделывания;</w:t>
      </w:r>
    </w:p>
    <w:p>
      <w:pPr>
        <w:spacing w:after="60"/>
        <w:ind w:firstLine="567"/>
        <w:jc w:val="both"/>
      </w:pPr>
      <w:r>
        <w:rPr>
          <w:rFonts w:ascii="Arial" w:cs="Arial" w:eastAsia="Arial" w:hAnsi="Arial"/>
          <w:sz w:val="22"/>
          <w:szCs w:val="22"/>
        </w:rPr>
        <w:t xml:space="preserve">- введение режимов чрезвычайной ситуации, а зачем чрезвычайного положения в самый пик проведения посевной кампании значительно осложнило для фермеров ряда районов доступ к своим землям. Кроме того, имелись многочисленные факты закрытия точек продажи семян, удобрений и запасных частей к сельхозтехнике;</w:t>
      </w:r>
    </w:p>
    <w:p>
      <w:pPr>
        <w:spacing w:after="60"/>
        <w:ind w:firstLine="567"/>
        <w:jc w:val="both"/>
      </w:pPr>
      <w:r>
        <w:rPr>
          <w:rFonts w:ascii="Arial" w:cs="Arial" w:eastAsia="Arial" w:hAnsi="Arial"/>
          <w:sz w:val="22"/>
          <w:szCs w:val="22"/>
        </w:rPr>
        <w:t xml:space="preserve">- нестабильная погода, в период с 8 по 10 апреля 2020 года на территории республики наблюдались снегопады и ночные заморозки. В пик проведения весенней посевной кампании и цветения плодовых деревьев это нанесло значительный ущерб сельским товаропроизводителям. Более всего пострадали три южные области и Чуйская долина. Наибольший ущерб был нанесен плодовым деревьям, вступившим и фазу цветения. Также значительно пострадали посевы сахарной свеклы, овощей и в меньшей степени - хлопчатника и картофеля;</w:t>
      </w:r>
    </w:p>
    <w:p>
      <w:pPr>
        <w:spacing w:after="60"/>
        <w:ind w:firstLine="567"/>
        <w:jc w:val="both"/>
      </w:pPr>
      <w:r>
        <w:rPr>
          <w:rFonts w:ascii="Arial" w:cs="Arial" w:eastAsia="Arial" w:hAnsi="Arial"/>
          <w:sz w:val="22"/>
          <w:szCs w:val="22"/>
        </w:rPr>
        <w:t xml:space="preserve">- сокращение посевных площадей под табак, сахарную свеклу и хлопчатник;</w:t>
      </w:r>
    </w:p>
    <w:p>
      <w:pPr>
        <w:spacing w:after="60"/>
        <w:ind w:firstLine="567"/>
        <w:jc w:val="both"/>
      </w:pPr>
      <w:r>
        <w:rPr>
          <w:rFonts w:ascii="Arial" w:cs="Arial" w:eastAsia="Arial" w:hAnsi="Arial"/>
          <w:sz w:val="22"/>
          <w:szCs w:val="22"/>
        </w:rPr>
        <w:t xml:space="preserve">- приостановка случной кампании в регионах в период карантина из-за отсутствия возможности доставки семени из Биотехнологического центра Кыргызского научно-исследовательского института животноводства и пастбищ, Кыргызского национального аграрного университета имени К.И.Скрябина, Министерства образования и науки Кыргызской Республики и государственного предприятия "Государственное подсобное хозяйство "Элита" при Фонде по управлению государственным имуществом при Правительстве Кыргызской Республики;</w:t>
      </w:r>
    </w:p>
    <w:p>
      <w:pPr>
        <w:spacing w:after="60"/>
        <w:ind w:firstLine="567"/>
        <w:jc w:val="both"/>
      </w:pPr>
      <w:r>
        <w:rPr>
          <w:rFonts w:ascii="Arial" w:cs="Arial" w:eastAsia="Arial" w:hAnsi="Arial"/>
          <w:sz w:val="22"/>
          <w:szCs w:val="22"/>
        </w:rPr>
        <w:t xml:space="preserve">- недостаточный уровень кормовой базы в республике, что обусловлено закрытием границ в связи с распространением коронавирусной инфекции, а также высокая цена на корм для животных, что может привести к сокращению поголовья скота и птицы.</w:t>
      </w:r>
    </w:p>
    <w:p>
      <w:pPr>
        <w:spacing w:after="60"/>
        <w:ind w:firstLine="567"/>
        <w:jc w:val="both"/>
      </w:pPr>
      <w:r>
        <w:rPr>
          <w:rFonts w:ascii="Arial" w:cs="Arial" w:eastAsia="Arial" w:hAnsi="Arial"/>
          <w:sz w:val="22"/>
          <w:szCs w:val="22"/>
        </w:rPr>
        <w:t xml:space="preserve">Основными рисками в данном секторе являются: неблагоприятные природно-климатические условия; непредсказуемость цен на горюче-смазочные материалы; дефицит минеральных удобрений из-за закрытия границ в связи с коронавирусом и высокая цена на них; торговые барьеры (закрытие границ); неблагоприятная эпизоотическая ситуация; неэффективное использование предоставленной государственной поддержки и др.</w:t>
      </w:r>
    </w:p>
    <w:p>
      <w:pPr>
        <w:spacing w:after="60"/>
        <w:ind w:firstLine="567"/>
        <w:jc w:val="both"/>
      </w:pPr>
      <w:r>
        <w:rPr>
          <w:rFonts w:ascii="Arial" w:cs="Arial" w:eastAsia="Arial" w:hAnsi="Arial"/>
          <w:sz w:val="22"/>
          <w:szCs w:val="22"/>
        </w:rPr>
        <w:t xml:space="preserve">На развитие промышленного производства в 2020 году ощутимое влияние окажет сложившаяся ситуация (пандемия коронавируса), которая привела к негативным последствиям практически во всех отраслях экономики.</w:t>
      </w:r>
    </w:p>
    <w:p>
      <w:pPr>
        <w:spacing w:after="60"/>
        <w:ind w:firstLine="567"/>
        <w:jc w:val="both"/>
      </w:pPr>
      <w:r>
        <w:rPr>
          <w:rFonts w:ascii="Arial" w:cs="Arial" w:eastAsia="Arial" w:hAnsi="Arial"/>
          <w:sz w:val="22"/>
          <w:szCs w:val="22"/>
        </w:rPr>
        <w:t xml:space="preserve">Принятые меры по закрытию границ с соседними странами привели к сокращению экспорта продукции промышленного производства, задержке товаров на границе, что особенно важно для бесперебойной работы цепочек поставок, прежде всего поставок товаров, для которых необходимо придерживаться определенного срока перевозки. Негативное влияние нанесено предприятиям легкой и перерабатывающей промышленности, куда в основном импортируются комплектующие изделия.</w:t>
      </w:r>
    </w:p>
    <w:p>
      <w:pPr>
        <w:spacing w:after="60"/>
        <w:ind w:firstLine="567"/>
        <w:jc w:val="both"/>
      </w:pPr>
      <w:r>
        <w:rPr>
          <w:rFonts w:ascii="Arial" w:cs="Arial" w:eastAsia="Arial" w:hAnsi="Arial"/>
          <w:sz w:val="22"/>
          <w:szCs w:val="22"/>
        </w:rPr>
        <w:t xml:space="preserve">Учитывая ситуацию, связанную с распространением коронавируса и принятыми мерами по борьбе с коронавирусной инфекцией, в промышленности в 2020 ожидается темп роста на уровне 95,2% (по ВДС), такое снижение оценивается за счет:</w:t>
      </w:r>
    </w:p>
    <w:p>
      <w:pPr>
        <w:spacing w:after="60"/>
        <w:ind w:firstLine="567"/>
        <w:jc w:val="both"/>
      </w:pPr>
      <w:r>
        <w:rPr>
          <w:rFonts w:ascii="Arial" w:cs="Arial" w:eastAsia="Arial" w:hAnsi="Arial"/>
          <w:sz w:val="22"/>
          <w:szCs w:val="22"/>
        </w:rPr>
        <w:t xml:space="preserve">- снижения производства объемов в текстильном производстве; производства одежды и обуви, кожи и прочих кожаных изделий. В связи со сложившейся ситуацией и негативными последствиями в виде ограничений в поставках сырья (ткани, фурнитуры и т.д.) для предприятий легкой промышленности и отсутствием возможности экспортировать продукцию в планируемые сроки, показатели на 2020 год ожидаются на уровне 90%. Указанные данные планируются с учетом того, что ситуация начнет стабилизироваться во втором полугодии т.г., при условии сохранения ситуации во втором полугодии имеется риск остановки многих швейных предприятий республики;</w:t>
      </w:r>
    </w:p>
    <w:p>
      <w:pPr>
        <w:spacing w:after="60"/>
        <w:ind w:firstLine="567"/>
        <w:jc w:val="both"/>
      </w:pPr>
      <w:r>
        <w:rPr>
          <w:rFonts w:ascii="Arial" w:cs="Arial" w:eastAsia="Arial" w:hAnsi="Arial"/>
          <w:sz w:val="22"/>
          <w:szCs w:val="22"/>
        </w:rPr>
        <w:t xml:space="preserve">- сокращения объемов производства нефтепродуктов на 49,2%, так как деятельность основного предприятия сектора ОсОО "Джунда" приостановлена. Выехавшие на зимние каникулы специалисты из Китая (около 300 чел.) не вернулись в связи с закрытием границы. Также поставка сырья для производства не решена в полном объеме;</w:t>
      </w:r>
    </w:p>
    <w:p>
      <w:pPr>
        <w:spacing w:after="60"/>
        <w:ind w:firstLine="567"/>
        <w:jc w:val="both"/>
      </w:pPr>
      <w:r>
        <w:rPr>
          <w:rFonts w:ascii="Arial" w:cs="Arial" w:eastAsia="Arial" w:hAnsi="Arial"/>
          <w:sz w:val="22"/>
          <w:szCs w:val="22"/>
        </w:rPr>
        <w:t xml:space="preserve">- замедления объемов производства пищевых продуктов (включая напитки) и табачных изделий в 2020 году до уровня 103,6%. Большинство отраслей пищевой промышленности не зависят от импорта сырья. При этом, многие вспомогательные материалы, пряности, пищевые добавки, а также упаковочные материалы и средства, используемые в пищевой отрасли, завозятся извне. В связи с закрытием границы с сопредельными государствами и снижением спроса ожидается уменьшение объемов производства экспортоориентированных пищепродуктов. Кроме того, это еще обусловлено снижением производства сахарной свеклы - на 321,1 тыс. тонн, масличных растений - на 0,2 тыс. тонн, из-за низкой рентабельности производства. Производство сахарной свеклы относительно фактического производства (за 2019 год - 741,1 тыс. тонн) сократится до 420,0 тыс. тонн, и ожидаемого производства сахара-песка - от 99,6 тыс. тонн до 60,0 тыс. тонн, из-за снижения посевной площади сахарной свеклы от 14,4 тыс. га до 8,2 тыс. га в 2020 году. Из-за понижения цен на сахар в 2019 году, заводами "Каинды-Кант", "Кошой" оплата за поставленные корнеплоды сахарной свеклы произведена продукцией, и только 20% - в денежном выражении. Вследствие этого многие свеклопроизводители намерены сократить посевы сахарной свеклы в 2020 году. В то же время по результатам апрельского мороза, проведен пересев сахарной свеклы, и сахарные заводы (АО "Каинды-Кант" и "Кошой") прогнозируют объем производства сахара в пределах 48-50 тыс. тонн;</w:t>
      </w:r>
    </w:p>
    <w:p>
      <w:pPr>
        <w:spacing w:after="60"/>
        <w:ind w:firstLine="567"/>
        <w:jc w:val="both"/>
      </w:pPr>
      <w:r>
        <w:rPr>
          <w:rFonts w:ascii="Arial" w:cs="Arial" w:eastAsia="Arial" w:hAnsi="Arial"/>
          <w:sz w:val="22"/>
          <w:szCs w:val="22"/>
        </w:rPr>
        <w:t xml:space="preserve">- замедления объемов добычи металлических руд, ожидаемых на уровне объемов 2019 года, в таких компаниях, как ОсОО "Эти Бакыр Терексай", ОсОО "Каз Минералз Бозымчак", ОсОО "Вертекс Голд Компани" и др., из-за введения ограничительных мер возникли трудности при формировании рабочей вахты, а также при доставке до места работы сотрудников, при приобретении товарно-материальных ценностей (ограниченная связь, логистика и возможности поставщиков - риски при ввозе сырья, материалов и комплектующих: реагенты, станки, машины, запасные части, спецпродукция и т.д., в основном из КНР). На ОсОО "ГИК Кайди" и ЗАО "Кичи-Чаарат" работы обогатительных фабрик приостановлены до нормализации ситуации с коронавирусом в стране;</w:t>
      </w:r>
    </w:p>
    <w:p>
      <w:pPr>
        <w:spacing w:after="60"/>
        <w:ind w:firstLine="567"/>
        <w:jc w:val="both"/>
      </w:pPr>
      <w:r>
        <w:rPr>
          <w:rFonts w:ascii="Arial" w:cs="Arial" w:eastAsia="Arial" w:hAnsi="Arial"/>
          <w:sz w:val="22"/>
          <w:szCs w:val="22"/>
        </w:rPr>
        <w:t xml:space="preserve">- снижения объемов производства на месторождении Кумтор на 10,0% по сравнению с 2019 годом согласно их производственному плану, в расчет принят средний предел запланированных объемов ЗАО "Кумтор Голд Компани", где объем производства основных металлов прогнозируется в 2020 году в количестве 540,0 тыс. унций (16,8 г);</w:t>
      </w:r>
    </w:p>
    <w:p>
      <w:pPr>
        <w:spacing w:after="60"/>
        <w:ind w:firstLine="567"/>
        <w:jc w:val="both"/>
      </w:pPr>
      <w:r>
        <w:rPr>
          <w:rFonts w:ascii="Arial" w:cs="Arial" w:eastAsia="Arial" w:hAnsi="Arial"/>
          <w:sz w:val="22"/>
          <w:szCs w:val="22"/>
        </w:rPr>
        <w:t xml:space="preserve">- замедления объемов производства основного металла на месторождении Талды-Булак-Левобережный, которые в 2020 году ожидаются на уровне производства 2019 года. Присутствует риск недостижения ожидаемых показателей из-за закрытия границы с Казахстаном, поскольку отдельные объемы концентратов вывозятся на переработку;</w:t>
      </w:r>
    </w:p>
    <w:p>
      <w:pPr>
        <w:spacing w:after="60"/>
        <w:ind w:firstLine="567"/>
        <w:jc w:val="both"/>
      </w:pPr>
      <w:r>
        <w:rPr>
          <w:rFonts w:ascii="Arial" w:cs="Arial" w:eastAsia="Arial" w:hAnsi="Arial"/>
          <w:sz w:val="22"/>
          <w:szCs w:val="22"/>
        </w:rPr>
        <w:t xml:space="preserve">- отсрочки запланированного на 1 апреля 2020 года запуска золотоизвлекательной фабрики на месторождении Джеруй из-за возникших трудностей со сменой вахты и приобретением товарно-материальных ценностей. Соответственно объем производства ожидаемого основного материала сокращается. Кроме того, не решен вопрос реализации ожидаемого производства основного металла, во избежание увеличения затрат до решения данного вопроса, запуск может быть отсрочен. В расчет прогноза заложено производство 2250 кг, при этом присутствует риск невыполнения объема из-за несвоевременного запуска объекта;</w:t>
      </w:r>
    </w:p>
    <w:p>
      <w:pPr>
        <w:spacing w:after="60"/>
        <w:ind w:firstLine="567"/>
        <w:jc w:val="both"/>
      </w:pPr>
      <w:r>
        <w:rPr>
          <w:rFonts w:ascii="Arial" w:cs="Arial" w:eastAsia="Arial" w:hAnsi="Arial"/>
          <w:sz w:val="22"/>
          <w:szCs w:val="22"/>
        </w:rPr>
        <w:t xml:space="preserve">- снижения объемов производства строительных материалов в 2020 году, где темп роста ожидается на уровне 80,2% из-за ожидаемого снижения деловой и инвестиционной активности в строительном секторе за счет возможных сокращений объемов капитальных вложений. В связи с введением режима чрезвычайной ситуации и чрезвычайного положения была нарушена автотранспортная логистика и поставки строительных материалов потребителям;</w:t>
      </w:r>
    </w:p>
    <w:p>
      <w:pPr>
        <w:spacing w:after="60"/>
        <w:ind w:firstLine="567"/>
        <w:jc w:val="both"/>
      </w:pPr>
      <w:r>
        <w:rPr>
          <w:rFonts w:ascii="Arial" w:cs="Arial" w:eastAsia="Arial" w:hAnsi="Arial"/>
          <w:sz w:val="22"/>
          <w:szCs w:val="22"/>
        </w:rPr>
        <w:t xml:space="preserve">- замедления выработки электроэнергии, ее передачи и распределения до уровня 100,3% с учетом существующего наполнения Токтогульского водохранилища в 2020 году из-за ожидаемого периода маловодья. На выработку и реализацию электроэнергии также влияет ее потребление. В связи с ограничением работы заведений с массовым скоплением людей (рестораны, торговые центры и т.д.), а также возможным снижением производства на промышленных предприятиях есть риски снижения выработки электроэнергии.</w:t>
      </w:r>
    </w:p>
    <w:p>
      <w:pPr>
        <w:spacing w:after="60"/>
        <w:ind w:firstLine="567"/>
        <w:jc w:val="both"/>
      </w:pPr>
      <w:r>
        <w:rPr>
          <w:rFonts w:ascii="Arial" w:cs="Arial" w:eastAsia="Arial" w:hAnsi="Arial"/>
          <w:sz w:val="22"/>
          <w:szCs w:val="22"/>
        </w:rPr>
        <w:t xml:space="preserve">Ожидается обеспечение запланированных объемов производства на угледобывающих предприятиях и предприятиях по добыче нефти и газа.</w:t>
      </w:r>
    </w:p>
    <w:p>
      <w:pPr>
        <w:spacing w:after="60"/>
        <w:ind w:firstLine="567"/>
        <w:jc w:val="both"/>
      </w:pPr>
      <w:r>
        <w:rPr>
          <w:rFonts w:ascii="Arial" w:cs="Arial" w:eastAsia="Arial" w:hAnsi="Arial"/>
          <w:sz w:val="22"/>
          <w:szCs w:val="22"/>
        </w:rPr>
        <w:t xml:space="preserve">Влияние промышленного производства на темпы экономического роста будет отрицательным и составит 0,9 процентных пункта, удельный вес промышленности в структуре производства ВВП - 18,2%.</w:t>
      </w:r>
    </w:p>
    <w:p>
      <w:pPr>
        <w:spacing w:after="60"/>
        <w:ind w:firstLine="567"/>
        <w:jc w:val="both"/>
      </w:pPr>
      <w:r>
        <w:rPr>
          <w:rFonts w:ascii="Arial" w:cs="Arial" w:eastAsia="Arial" w:hAnsi="Arial"/>
          <w:sz w:val="22"/>
          <w:szCs w:val="22"/>
        </w:rPr>
        <w:t xml:space="preserve">В строительном комплексе страны, в результате принятия комплексных мер развития прогнозируется увеличение капитальных вложений на 3,6%, объемы составят 169,6 млрд. сомов.</w:t>
      </w:r>
    </w:p>
    <w:p>
      <w:pPr>
        <w:spacing w:after="60"/>
        <w:ind w:firstLine="567"/>
        <w:jc w:val="both"/>
      </w:pPr>
      <w:r>
        <w:rPr>
          <w:rFonts w:ascii="Arial" w:cs="Arial" w:eastAsia="Arial" w:hAnsi="Arial"/>
          <w:sz w:val="22"/>
          <w:szCs w:val="22"/>
        </w:rPr>
        <w:t xml:space="preserve">Ожидается поступление капитальных вложений за счет средств республиканского бюджета в сумме 2411,5 млн. сомов, которые в первую очередь будут направлены на завершение строительства объектов высокой строительной готовности, реконструкцию объектов здравоохранения, образования, а также аварийных объектов.</w:t>
      </w:r>
    </w:p>
    <w:p>
      <w:pPr>
        <w:spacing w:after="60"/>
        <w:ind w:firstLine="567"/>
        <w:jc w:val="both"/>
      </w:pPr>
      <w:r>
        <w:rPr>
          <w:rFonts w:ascii="Arial" w:cs="Arial" w:eastAsia="Arial" w:hAnsi="Arial"/>
          <w:sz w:val="22"/>
          <w:szCs w:val="22"/>
        </w:rPr>
        <w:t xml:space="preserve">Прогнозные объемы капитальных вложений за счет средств предприятий и организаций в сумме 57,3 млрд. сомов будут сформированы за счет инвестиций ЗАО "Кумтор Голд Компани" (4689,6 млн. сомов) и др.</w:t>
      </w:r>
    </w:p>
    <w:p>
      <w:pPr>
        <w:spacing w:after="60"/>
        <w:ind w:firstLine="567"/>
        <w:jc w:val="both"/>
      </w:pPr>
      <w:r>
        <w:rPr>
          <w:rFonts w:ascii="Arial" w:cs="Arial" w:eastAsia="Arial" w:hAnsi="Arial"/>
          <w:sz w:val="22"/>
          <w:szCs w:val="22"/>
        </w:rPr>
        <w:t xml:space="preserve">В 2020 году важнейшими направлениями проектов государственных инвестиций останутся развитие транспортной системы, энергетической инфраструктуры, а также водоснабжения и другие.</w:t>
      </w:r>
    </w:p>
    <w:p>
      <w:pPr>
        <w:spacing w:after="60"/>
        <w:ind w:firstLine="567"/>
        <w:jc w:val="both"/>
      </w:pPr>
      <w:r>
        <w:rPr>
          <w:rFonts w:ascii="Arial" w:cs="Arial" w:eastAsia="Arial" w:hAnsi="Arial"/>
          <w:sz w:val="22"/>
          <w:szCs w:val="22"/>
        </w:rPr>
        <w:t xml:space="preserve">Объем уточненного бюджета государственных инвестиций на 2020 год составляет 32054,9 млн. сомов, из которых гранты - 9324,5 млн. сомов (29,1%), кредиты - 21811,8 млн. сомов (68,0%) и софинансирование Правительства Кыргызской Республики - 918,6 млн. сомов (2,9%).</w:t>
      </w:r>
    </w:p>
    <w:p>
      <w:pPr>
        <w:spacing w:after="60"/>
        <w:ind w:firstLine="567"/>
        <w:jc w:val="both"/>
      </w:pPr>
      <w:r>
        <w:rPr>
          <w:rFonts w:ascii="Arial" w:cs="Arial" w:eastAsia="Arial" w:hAnsi="Arial"/>
          <w:sz w:val="22"/>
          <w:szCs w:val="22"/>
        </w:rPr>
        <w:t xml:space="preserve">Наибольшие объемы финансирования предусмотрены в секторе транспорта - всего в размере 5583,9 млн. сомов (17,4% общего объема государственных инвестиций), которые ожидаются за счет проектов: "Строительство альтернативной дороги Север-Юг" (251,5 млн. сомов - ИБР, СФР); "Реабилитация автодороги "Бишкек-Нарын-Торугарт" (312,2 млн. сомов - ИБР, СФР, КФАЭР, ОПЕК, Фонд развития Абу-Даби); "Реабилитация автомобильной дороги Ош-Баткен-Исфана" (246,5 млн. сомов - ИБР); "Улучшение коридора ЦАРЭС 3 (автодорога Бишкек-Ош)", Фаза 4 (861,5 млн. сомов - АБР); "Строительство альтернативной дороги Север-Юг", Фаза 1 и Фаза 2" (2408,4 млн. сомов - КНР); "Соединительная дорога, коридоры ЦАРЭС 1 и ЦАРЭС 3" (876,7 млн. сомов - АБР); "Улучшение дорожных сообщений в Центральной Азии" (дорога Ош-Худжант, 61,3 млн. сомов - ВБ); "Реабилитация автомобильной дороги Тараз-Талас-Суусамыр", Фаза III, 10,3 млн. сомов - ИБР); "Улучшение дорожных путей сообщения в Центральной Азии", Фаза 3 (дорога Тюп-Кеген, 32,2 млн. сомов - ВБ); "Реконструкция автомобильной дороги Бишкек-Ош, Фаза IV" (483,0 млн. сомов - Антикризисный фонд ЕАБР) и других,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2"/>
          <w:szCs w:val="22"/>
        </w:rPr>
        <w:t xml:space="preserve">В энергетической отрасли объемы финансирования предусмотрены в сумме 4292,2 млн. сомов (13,4% общего объема государственных инвестиций), которые ожидаются за счет реализации проектов: "Реабилитация Токтогульской ГЭС, Фаза II" (543,0 млн. сомов - АБР, ЕАБР); "Реконструкция Атбашинской ГЭС" (185,4 млн. сомов - Швейцария); "Проект улучшения теплоснабжения" (161,2 млн. сомов - ВБ); "Реабилитация Токтогульской ГЭС, Фаза </w:t>
      </w:r>
      <w:r>
        <w:rPr>
          <w:rFonts w:ascii="Arial" w:cs="Arial" w:eastAsia="Arial" w:hAnsi="Arial"/>
          <w:sz w:val="22"/>
          <w:szCs w:val="22"/>
        </w:rPr>
        <w:t xml:space="preserve">III</w:t>
      </w:r>
      <w:r>
        <w:rPr>
          <w:rFonts w:ascii="Arial" w:cs="Arial" w:eastAsia="Arial" w:hAnsi="Arial"/>
          <w:sz w:val="22"/>
          <w:szCs w:val="22"/>
        </w:rPr>
        <w:t xml:space="preserve">" (63,3 млн. сомов - АБР, ЕАБР); Проект "CASA-1000" (2935,1 млн. сомов ВБ, ЕИВ, ИБР); "Ввод в эксплуатации второго гидроагрегата Камбаратинской ГЭС-2" (38,7 млн. сомов - ЕАБР) и других проектов, которые позволят в значительной мере улучшить состояние энергетической отрасли в Кыргызской Республике и создать благоприятную основу для увеличения обмена электрической энергией между соседними государствами, а также транзитного перетока.</w:t>
      </w:r>
    </w:p>
    <w:p>
      <w:pPr>
        <w:spacing w:after="60"/>
        <w:ind w:firstLine="567"/>
        <w:jc w:val="both"/>
      </w:pPr>
      <w:r>
        <w:rPr>
          <w:rFonts w:ascii="Arial" w:cs="Arial" w:eastAsia="Arial" w:hAnsi="Arial"/>
          <w:sz w:val="22"/>
          <w:szCs w:val="22"/>
        </w:rPr>
        <w:t xml:space="preserve">При этом необходимо учесть, что в связи со сложившейся ситуацией, снизанной с распространением коронавирусной инфекции (COVID-19), по предварительным расчетам, существуют риски неосвоения бюджета государственных инвестиций на 2020 год в сумме 4932,3 млн. сомов. Необходимо отметить, что в ситуации с ежедневно меняющейся обстановкой сложно спрогнозировать реальные потребности проектов государственных инвестиций на 2020 год, в связи с чем информация не окончательная и в дальнейшем подлежит корректировке.</w:t>
      </w:r>
    </w:p>
    <w:p>
      <w:pPr>
        <w:spacing w:after="60"/>
        <w:ind w:firstLine="567"/>
        <w:jc w:val="both"/>
      </w:pPr>
      <w:r>
        <w:rPr>
          <w:rFonts w:ascii="Arial" w:cs="Arial" w:eastAsia="Arial" w:hAnsi="Arial"/>
          <w:sz w:val="22"/>
          <w:szCs w:val="22"/>
        </w:rPr>
        <w:t xml:space="preserve">Объемы прямых иностранных инвестиций в сумме 12,3 млрд. сомов прогнозируются за счет капитальных вложений:</w:t>
      </w:r>
    </w:p>
    <w:p>
      <w:pPr>
        <w:spacing w:after="60"/>
        <w:ind w:firstLine="567"/>
        <w:jc w:val="both"/>
      </w:pPr>
      <w:r>
        <w:rPr>
          <w:rFonts w:ascii="Arial" w:cs="Arial" w:eastAsia="Arial" w:hAnsi="Arial"/>
          <w:sz w:val="22"/>
          <w:szCs w:val="22"/>
        </w:rPr>
        <w:t xml:space="preserve">- ОсОО "Каз Минералз Бозымчак" (1053,0 млн. сомов);</w:t>
      </w:r>
    </w:p>
    <w:p>
      <w:pPr>
        <w:spacing w:after="60"/>
        <w:ind w:firstLine="567"/>
        <w:jc w:val="both"/>
      </w:pPr>
      <w:r>
        <w:rPr>
          <w:rFonts w:ascii="Arial" w:cs="Arial" w:eastAsia="Arial" w:hAnsi="Arial"/>
          <w:sz w:val="22"/>
          <w:szCs w:val="22"/>
        </w:rPr>
        <w:t xml:space="preserve">- ОсОО "Фулл Голд Майнинг" (445,2 млн. сомов);</w:t>
      </w:r>
    </w:p>
    <w:p>
      <w:pPr>
        <w:spacing w:after="60"/>
        <w:ind w:firstLine="567"/>
        <w:jc w:val="both"/>
      </w:pPr>
      <w:r>
        <w:rPr>
          <w:rFonts w:ascii="Arial" w:cs="Arial" w:eastAsia="Arial" w:hAnsi="Arial"/>
          <w:sz w:val="22"/>
          <w:szCs w:val="22"/>
        </w:rPr>
        <w:t xml:space="preserve">- ЗАО "Чаарат Заав" ОАО (4,1 млн. сомов);</w:t>
      </w:r>
    </w:p>
    <w:p>
      <w:pPr>
        <w:spacing w:after="60"/>
        <w:ind w:firstLine="567"/>
        <w:jc w:val="both"/>
      </w:pPr>
      <w:r>
        <w:rPr>
          <w:rFonts w:ascii="Arial" w:cs="Arial" w:eastAsia="Arial" w:hAnsi="Arial"/>
          <w:sz w:val="22"/>
          <w:szCs w:val="22"/>
        </w:rPr>
        <w:t xml:space="preserve">- ОсОО "Вертекс Голд Компани" (1680 млн. сомов);</w:t>
      </w:r>
    </w:p>
    <w:p>
      <w:pPr>
        <w:spacing w:after="60"/>
        <w:ind w:firstLine="567"/>
        <w:jc w:val="both"/>
      </w:pPr>
      <w:r>
        <w:rPr>
          <w:rFonts w:ascii="Arial" w:cs="Arial" w:eastAsia="Arial" w:hAnsi="Arial"/>
          <w:sz w:val="22"/>
          <w:szCs w:val="22"/>
        </w:rPr>
        <w:t xml:space="preserve">- ОсОО "Алтынкен" (391,7 млн. сомов);</w:t>
      </w:r>
    </w:p>
    <w:p>
      <w:pPr>
        <w:spacing w:after="60"/>
        <w:ind w:firstLine="567"/>
        <w:jc w:val="both"/>
      </w:pPr>
      <w:r>
        <w:rPr>
          <w:rFonts w:ascii="Arial" w:cs="Arial" w:eastAsia="Arial" w:hAnsi="Arial"/>
          <w:sz w:val="22"/>
          <w:szCs w:val="22"/>
        </w:rPr>
        <w:t xml:space="preserve">- ОсОО "Газпром Кыргызстан" (1490,4 млн. сомов) и др.</w:t>
      </w:r>
    </w:p>
    <w:p>
      <w:pPr>
        <w:spacing w:after="60"/>
        <w:ind w:firstLine="567"/>
        <w:jc w:val="both"/>
      </w:pPr>
      <w:r>
        <w:rPr>
          <w:rFonts w:ascii="Arial" w:cs="Arial" w:eastAsia="Arial" w:hAnsi="Arial"/>
          <w:sz w:val="22"/>
          <w:szCs w:val="22"/>
        </w:rPr>
        <w:t xml:space="preserve">Исходя из планируемых объемов капитализации экономики, реальный рост общего объема валовой продукции строительства в 2020 году прогнозируется на уровне 2,9% и составит 178,9 млрд. сомов. Влияние строительной отрасли на темпы экономического роста будет положительным и составит 0,28 процентного пункта, удельный вес строительства в структуре производства ВВП - 10,3%.</w:t>
      </w:r>
    </w:p>
    <w:p>
      <w:pPr>
        <w:spacing w:after="60"/>
        <w:ind w:firstLine="567"/>
        <w:jc w:val="both"/>
      </w:pPr>
      <w:r>
        <w:rPr>
          <w:rFonts w:ascii="Arial" w:cs="Arial" w:eastAsia="Arial" w:hAnsi="Arial"/>
          <w:sz w:val="22"/>
          <w:szCs w:val="22"/>
        </w:rPr>
        <w:t xml:space="preserve">В региональном разрезе ожидается рост объемов строительства во всех регионах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город Бишкек (42,6%), Чуйская (15,8%), Джалал-Абадская (14,2%) и Иссык-Кульская (10,9%) области, суммарный вклад которых в развитие строительной отрасли составит 2,54 процентного пункта.</w:t>
      </w:r>
    </w:p>
    <w:p>
      <w:pPr>
        <w:spacing w:after="60"/>
        <w:ind w:firstLine="567"/>
        <w:jc w:val="both"/>
      </w:pPr>
      <w:r>
        <w:rPr>
          <w:rFonts w:ascii="Arial" w:cs="Arial" w:eastAsia="Arial" w:hAnsi="Arial"/>
          <w:sz w:val="22"/>
          <w:szCs w:val="22"/>
        </w:rPr>
        <w:t xml:space="preserve">При этом присутствуют риски, которые могут оказать негативный эффект на развитие строительства и привести к недостижению ожидаемых показателей. Одним из основных рисков является то, что в республике реализуется ряд инвестиционных проектов по строительству автодорог, где генеральными подрядчиками выступают иностранные компании из стран, граждане которых не смогли своевременно попасть в Кыргызскую Республику:</w:t>
      </w:r>
    </w:p>
    <w:p>
      <w:pPr>
        <w:spacing w:after="60"/>
        <w:ind w:firstLine="567"/>
        <w:jc w:val="both"/>
      </w:pPr>
      <w:r>
        <w:rPr>
          <w:rFonts w:ascii="Arial" w:cs="Arial" w:eastAsia="Arial" w:hAnsi="Arial"/>
          <w:sz w:val="22"/>
          <w:szCs w:val="22"/>
        </w:rPr>
        <w:t xml:space="preserve">1. Проект "Строительство альтернативной автомобильной дороги Север-Юг, 159 км - 183 км" от с.Дыйкан до с.Кызыл-Жылдыз, генеральный подрядчик - совместное предприятие "MOST-GROUP and China Road &amp; Bridge Corporation (Кыргызстан - КНР), консультационная компания - совместное предприятие "Saudi Tech Engineering &amp; Geological Consultants and Spectrum Engineering Consultants" (Саудовская Аравия/Ливан);</w:t>
      </w:r>
    </w:p>
    <w:p>
      <w:pPr>
        <w:spacing w:after="60"/>
        <w:ind w:firstLine="567"/>
        <w:jc w:val="both"/>
      </w:pPr>
      <w:r>
        <w:rPr>
          <w:rFonts w:ascii="Arial" w:cs="Arial" w:eastAsia="Arial" w:hAnsi="Arial"/>
          <w:sz w:val="22"/>
          <w:szCs w:val="22"/>
        </w:rPr>
        <w:t xml:space="preserve">2. Проект "Реконструкция автомобильной дороги Бишкек-Нарын-Торугарт, 272 км - 365 км", генеральный подрядчик - компания "Sinohydro" (КЭР), консультационная компания - совместное предприятие "Team International and Saud Consult" (Ливан/Саудовская Аравия);</w:t>
      </w:r>
    </w:p>
    <w:p>
      <w:pPr>
        <w:spacing w:after="60"/>
        <w:ind w:firstLine="567"/>
        <w:jc w:val="both"/>
      </w:pPr>
      <w:r>
        <w:rPr>
          <w:rFonts w:ascii="Arial" w:cs="Arial" w:eastAsia="Arial" w:hAnsi="Arial"/>
          <w:sz w:val="22"/>
          <w:szCs w:val="22"/>
        </w:rPr>
        <w:t xml:space="preserve">3. Проект строительства альтернативной автомобильной дороги Север-Юг, фаза 1, генеральный подрядчик - компания "China Road &amp; Bridge Corporation" (КНР);</w:t>
      </w:r>
    </w:p>
    <w:p>
      <w:pPr>
        <w:spacing w:after="60"/>
        <w:ind w:firstLine="567"/>
        <w:jc w:val="both"/>
      </w:pPr>
      <w:r>
        <w:rPr>
          <w:rFonts w:ascii="Arial" w:cs="Arial" w:eastAsia="Arial" w:hAnsi="Arial"/>
          <w:sz w:val="22"/>
          <w:szCs w:val="22"/>
        </w:rPr>
        <w:t xml:space="preserve">4. Проект строительства альтернативной автомобильной дороги Север-Юг, фаза 2, генеральный подрядчик - компания China Road &amp; Bridge Corporation (КНР);</w:t>
      </w:r>
    </w:p>
    <w:p>
      <w:pPr>
        <w:spacing w:after="60"/>
        <w:ind w:firstLine="567"/>
        <w:jc w:val="both"/>
      </w:pPr>
      <w:r>
        <w:rPr>
          <w:rFonts w:ascii="Arial" w:cs="Arial" w:eastAsia="Arial" w:hAnsi="Arial"/>
          <w:sz w:val="22"/>
          <w:szCs w:val="22"/>
        </w:rPr>
        <w:t xml:space="preserve">5. Проект усовершенствования коридора ЦАРЭС 3 автодороги Бишкек-Ош, Фаза 4, участок Бишкек-Кара-Балта, генеральный подрядчик -компания "China Railway № 5" (КНР), консультационная компания - Eptisa (Испания);</w:t>
      </w:r>
    </w:p>
    <w:p>
      <w:pPr>
        <w:spacing w:after="60"/>
        <w:ind w:firstLine="567"/>
        <w:jc w:val="both"/>
      </w:pPr>
      <w:r>
        <w:rPr>
          <w:rFonts w:ascii="Arial" w:cs="Arial" w:eastAsia="Arial" w:hAnsi="Arial"/>
          <w:sz w:val="22"/>
          <w:szCs w:val="22"/>
        </w:rPr>
        <w:t xml:space="preserve">6. Проект соединительной дороги ЦАРЭС 1 и 3 (продолжение альтернативной автомобильной дороги Север-Юг, Фаза 3), участок Эпкин-Башкууганды, генеральный подрядчик - компания "Todini Costruzioni Generali. S.Р.А." (Италия), консультационная компания "Gentek International Engineering" (Турецкая Республика);</w:t>
      </w:r>
    </w:p>
    <w:p>
      <w:pPr>
        <w:spacing w:after="60"/>
        <w:ind w:firstLine="567"/>
        <w:jc w:val="both"/>
      </w:pPr>
      <w:r>
        <w:rPr>
          <w:rFonts w:ascii="Arial" w:cs="Arial" w:eastAsia="Arial" w:hAnsi="Arial"/>
          <w:sz w:val="22"/>
          <w:szCs w:val="22"/>
        </w:rPr>
        <w:t xml:space="preserve">7. Проект "Дополнительное финансирование Проекта соединительной дороги", коридоры ЦАРЭС 1 и ЦАРЭС 3, участки Балыкчы - до поворота к перевалу Кувакы со стороны с.Кочкор (0 км - 43 км) и Кочкор-Эпкин (62,4 км - 89,5 км), протяженностью 70,1 км (Север-Юг, 3 фаза), генеральный подрядчик - компания "Sinohydro" (КНР).</w:t>
      </w:r>
    </w:p>
    <w:p>
      <w:pPr>
        <w:spacing w:after="60"/>
        <w:ind w:firstLine="567"/>
        <w:jc w:val="both"/>
      </w:pPr>
      <w:r>
        <w:rPr>
          <w:rFonts w:ascii="Arial" w:cs="Arial" w:eastAsia="Arial" w:hAnsi="Arial"/>
          <w:sz w:val="22"/>
          <w:szCs w:val="22"/>
        </w:rPr>
        <w:t xml:space="preserve">По всем вышеуказанным проектам были разработаны графики строительных работ, на которые позже оказано влияние пандемии COV</w:t>
      </w:r>
      <w:r>
        <w:rPr>
          <w:rFonts w:ascii="Arial" w:cs="Arial" w:eastAsia="Arial" w:hAnsi="Arial"/>
          <w:sz w:val="22"/>
          <w:szCs w:val="22"/>
        </w:rPr>
        <w:t xml:space="preserve">I</w:t>
      </w:r>
      <w:r>
        <w:rPr>
          <w:rFonts w:ascii="Arial" w:cs="Arial" w:eastAsia="Arial" w:hAnsi="Arial"/>
          <w:sz w:val="22"/>
          <w:szCs w:val="22"/>
        </w:rPr>
        <w:t xml:space="preserve">D-19. Мобилизация сотрудников подрядных компаний планировалась в начале марта 2020 года, однако до настоящего времени большая часть сотрудников подрядных компаний не смогли своевременно въехать на территорию Кыргызской Республики.</w:t>
      </w:r>
    </w:p>
    <w:p>
      <w:pPr>
        <w:spacing w:after="60"/>
        <w:ind w:firstLine="567"/>
        <w:jc w:val="both"/>
      </w:pPr>
      <w:r>
        <w:rPr>
          <w:rFonts w:ascii="Arial" w:cs="Arial" w:eastAsia="Arial" w:hAnsi="Arial"/>
          <w:sz w:val="22"/>
          <w:szCs w:val="22"/>
        </w:rPr>
        <w:t xml:space="preserve">До обострения ситуации с эпидемией коронавируса, подрядчиками проводились работы по мобилизации персонала, техники и оборудования, а также ожидалось прибытие иностранного персонала Консультанта.</w:t>
      </w:r>
    </w:p>
    <w:p>
      <w:pPr>
        <w:spacing w:after="60"/>
        <w:ind w:firstLine="567"/>
        <w:jc w:val="both"/>
      </w:pPr>
      <w:r>
        <w:rPr>
          <w:rFonts w:ascii="Arial" w:cs="Arial" w:eastAsia="Arial" w:hAnsi="Arial"/>
          <w:sz w:val="22"/>
          <w:szCs w:val="22"/>
        </w:rPr>
        <w:t xml:space="preserve">Кроме того, по проекту "Реконструкция автомобильной дороги Бишкек-Нарын-Торугарт, 272 км - 365 км", по проекту "Реконструкция автомобильной дороги Ош-Баткен-Исфана, 75 км - 108 км" иностранный персонал Консультанта не смог своевременно въехать на территорию Кыргызской Республики из-за закрытия границы.</w:t>
      </w:r>
    </w:p>
    <w:p>
      <w:pPr>
        <w:spacing w:after="60"/>
        <w:ind w:firstLine="567"/>
        <w:jc w:val="both"/>
      </w:pPr>
      <w:r>
        <w:rPr>
          <w:rFonts w:ascii="Arial" w:cs="Arial" w:eastAsia="Arial" w:hAnsi="Arial"/>
          <w:sz w:val="22"/>
          <w:szCs w:val="22"/>
        </w:rPr>
        <w:t xml:space="preserve">Также, для выполнения строительных работ по тоннелю и эстакадным мостам в рамках стратегического для страны Проекта строительства автомобильной дороги Север-Юг, Генеральным подрядчиком "China Road &amp; Bridge Corporation" (КНР) были задействованы узконаправленные квалифицированные специалисты, операторы и машинисты специальной техники из КНР, количество которых достигает 1150 человек. Согласно графику строительных работ указанные специалисты должны были в феврале 2020 года прибыть в Кыргызскую Республику и мобилизоваться на проектный участок. При этом на местном рынке не имеется специалистов, работников и машинистов с такой же квалификацией, знаниями управления и эксплуатации специализированной техники.</w:t>
      </w:r>
    </w:p>
    <w:p>
      <w:pPr>
        <w:spacing w:after="60"/>
        <w:ind w:firstLine="567"/>
        <w:jc w:val="both"/>
      </w:pPr>
      <w:r>
        <w:rPr>
          <w:rFonts w:ascii="Arial" w:cs="Arial" w:eastAsia="Arial" w:hAnsi="Arial"/>
          <w:sz w:val="22"/>
          <w:szCs w:val="22"/>
        </w:rPr>
        <w:t xml:space="preserve">Инвестиционные проекты, реализуемые в энергетической отрасли, где генеральными подрядчиками выступают иностранные компании из стран, граждане которых также не смогли своевременно въехать в Кыргызскую Республику:</w:t>
      </w:r>
    </w:p>
    <w:p>
      <w:pPr>
        <w:spacing w:after="60"/>
        <w:ind w:firstLine="567"/>
        <w:jc w:val="both"/>
      </w:pPr>
      <w:r>
        <w:rPr>
          <w:rFonts w:ascii="Arial" w:cs="Arial" w:eastAsia="Arial" w:hAnsi="Arial"/>
          <w:sz w:val="22"/>
          <w:szCs w:val="22"/>
        </w:rPr>
        <w:t xml:space="preserve">1. Подрядчиком проекта "CASA-1000" по Кыргызской Республике выбрана турецкая компания "Milas Energy and Metai Construction", поставщики оборудования - китайская компания SichuanTianfu Jiangdong </w:t>
      </w:r>
      <w:r>
        <w:rPr>
          <w:rFonts w:ascii="Arial" w:cs="Arial" w:eastAsia="Arial" w:hAnsi="Arial"/>
          <w:sz w:val="22"/>
          <w:szCs w:val="22"/>
        </w:rPr>
        <w:t xml:space="preserve">Tech</w:t>
      </w:r>
      <w:r>
        <w:rPr>
          <w:rFonts w:ascii="Arial" w:cs="Arial" w:eastAsia="Arial" w:hAnsi="Arial"/>
          <w:sz w:val="22"/>
          <w:szCs w:val="22"/>
        </w:rPr>
        <w:t xml:space="preserve">nology Co. Ltd. (Tianfu), Российское АО "Южноуральский арматурно-изоляторный завод" (ЮАИЗ);</w:t>
      </w:r>
    </w:p>
    <w:p>
      <w:pPr>
        <w:spacing w:after="60"/>
        <w:ind w:firstLine="567"/>
        <w:jc w:val="both"/>
      </w:pPr>
      <w:r>
        <w:rPr>
          <w:rFonts w:ascii="Arial" w:cs="Arial" w:eastAsia="Arial" w:hAnsi="Arial"/>
          <w:sz w:val="22"/>
          <w:szCs w:val="22"/>
        </w:rPr>
        <w:t xml:space="preserve">2. Проект "Реконструкция Ат-Башинской ГЭС". Подрядчиками проекта выступают компании "General Electric Renewable" (Швейцария), "Alstom Hydro" (Франция). На 2020 год была запланирована поставка следующего оборудования:</w:t>
      </w:r>
    </w:p>
    <w:p>
      <w:pPr>
        <w:spacing w:after="60"/>
        <w:ind w:firstLine="567"/>
        <w:jc w:val="both"/>
      </w:pPr>
      <w:r>
        <w:rPr>
          <w:rFonts w:ascii="Arial" w:cs="Arial" w:eastAsia="Arial" w:hAnsi="Arial"/>
          <w:sz w:val="22"/>
          <w:szCs w:val="22"/>
        </w:rPr>
        <w:t xml:space="preserve">- рабочие колеса ГА № 1, 4 - из Китая;</w:t>
      </w:r>
    </w:p>
    <w:p>
      <w:pPr>
        <w:spacing w:after="60"/>
        <w:ind w:firstLine="567"/>
        <w:jc w:val="both"/>
      </w:pPr>
      <w:r>
        <w:rPr>
          <w:rFonts w:ascii="Arial" w:cs="Arial" w:eastAsia="Arial" w:hAnsi="Arial"/>
          <w:sz w:val="22"/>
          <w:szCs w:val="22"/>
        </w:rPr>
        <w:t xml:space="preserve">- генератор из Испании;</w:t>
      </w:r>
    </w:p>
    <w:p>
      <w:pPr>
        <w:spacing w:after="60"/>
        <w:ind w:firstLine="567"/>
        <w:jc w:val="both"/>
      </w:pPr>
      <w:r>
        <w:rPr>
          <w:rFonts w:ascii="Arial" w:cs="Arial" w:eastAsia="Arial" w:hAnsi="Arial"/>
          <w:sz w:val="22"/>
          <w:szCs w:val="22"/>
        </w:rPr>
        <w:t xml:space="preserve">- вал ГА № 1, 2, 4 - из Италии;</w:t>
      </w:r>
    </w:p>
    <w:p>
      <w:pPr>
        <w:spacing w:after="60"/>
        <w:ind w:firstLine="567"/>
        <w:jc w:val="both"/>
      </w:pPr>
      <w:r>
        <w:rPr>
          <w:rFonts w:ascii="Arial" w:cs="Arial" w:eastAsia="Arial" w:hAnsi="Arial"/>
          <w:sz w:val="22"/>
          <w:szCs w:val="22"/>
        </w:rPr>
        <w:t xml:space="preserve">- запасные части и компоненты гидроагрегатов.</w:t>
      </w:r>
    </w:p>
    <w:p>
      <w:pPr>
        <w:spacing w:after="60"/>
        <w:ind w:firstLine="567"/>
        <w:jc w:val="both"/>
      </w:pPr>
      <w:r>
        <w:rPr>
          <w:rFonts w:ascii="Arial" w:cs="Arial" w:eastAsia="Arial" w:hAnsi="Arial"/>
          <w:sz w:val="22"/>
          <w:szCs w:val="22"/>
        </w:rPr>
        <w:t xml:space="preserve">Поставка основного оборудования гидроагрегатов планируется из Китая. В связи с закрытием границ срок поставки этого оборудования отсрочен на неопределенное время, что напрямую повлияло на своевременное выполнение мероприятий по проекту. Также на май-июнь 2020 года были запланированы монтажные работы силового трансформатора Т1. Монтажные работы должны были проходить под надзором представителя завода-изготовителя из КНР. Запрет на выезд шеф-инженеров из КНР привел к задержке ввода в работу силового трансформатора;</w:t>
      </w:r>
    </w:p>
    <w:p>
      <w:pPr>
        <w:spacing w:after="60"/>
        <w:ind w:firstLine="567"/>
        <w:jc w:val="both"/>
      </w:pPr>
      <w:r>
        <w:rPr>
          <w:rFonts w:ascii="Arial" w:cs="Arial" w:eastAsia="Arial" w:hAnsi="Arial"/>
          <w:sz w:val="22"/>
          <w:szCs w:val="22"/>
        </w:rPr>
        <w:t xml:space="preserve">3. По остальным инвестиционным проектам в энергетической отрасли похожая ситуация.</w:t>
      </w:r>
    </w:p>
    <w:p>
      <w:pPr>
        <w:spacing w:after="60"/>
        <w:ind w:firstLine="567"/>
        <w:jc w:val="both"/>
      </w:pPr>
      <w:r>
        <w:rPr>
          <w:rFonts w:ascii="Arial" w:cs="Arial" w:eastAsia="Arial" w:hAnsi="Arial"/>
          <w:sz w:val="22"/>
          <w:szCs w:val="22"/>
        </w:rPr>
        <w:t xml:space="preserve">Вышеуказанные причины уже оказывают негативное воздействие на ход строительных работ в рамках инвестиционных проектов в сезоне 2020 года. Кроме того, несвоевременное прибытие сотрудников вышеуказанных компаний в течение действия карантинного запрета на въезд в Кыргызскую Республику привело к задержкам сроков реализации проектов, что потребует дополнительных проектных расходов.</w:t>
      </w:r>
    </w:p>
    <w:p>
      <w:pPr>
        <w:spacing w:after="60"/>
        <w:ind w:firstLine="567"/>
        <w:jc w:val="both"/>
      </w:pPr>
      <w:r>
        <w:rPr>
          <w:rFonts w:ascii="Arial" w:cs="Arial" w:eastAsia="Arial" w:hAnsi="Arial"/>
          <w:sz w:val="22"/>
          <w:szCs w:val="22"/>
        </w:rPr>
        <w:t xml:space="preserve">В условиях нестабильной ситуации в мировой экономике важную роль в строительном секторе играют ценовые показатели, которые сейчас оказывают негативное воздействие. С учетом закладываемой суммы на строительство объекта, который основывается на расчетах проектно-сметной документации, могут возникнуть риски до его завершения, в связи с удорожанием строительных материалов.</w:t>
      </w:r>
    </w:p>
    <w:p>
      <w:pPr>
        <w:spacing w:after="60"/>
        <w:ind w:firstLine="567"/>
        <w:jc w:val="both"/>
      </w:pPr>
      <w:r>
        <w:rPr>
          <w:rFonts w:ascii="Arial" w:cs="Arial" w:eastAsia="Arial" w:hAnsi="Arial"/>
          <w:sz w:val="22"/>
          <w:szCs w:val="22"/>
        </w:rPr>
        <w:t xml:space="preserve">Также, основной угрозой для развития строительной отрасли является ограничение поставок строительных материалов и запчастей на машины и оборудование.</w:t>
      </w:r>
    </w:p>
    <w:p>
      <w:pPr>
        <w:spacing w:after="60"/>
        <w:ind w:firstLine="567"/>
        <w:jc w:val="both"/>
      </w:pPr>
      <w:r>
        <w:rPr>
          <w:rFonts w:ascii="Arial" w:cs="Arial" w:eastAsia="Arial" w:hAnsi="Arial"/>
          <w:sz w:val="22"/>
          <w:szCs w:val="22"/>
        </w:rPr>
        <w:t xml:space="preserve">Из-за отсутствия возможности приобретения строительных материалов от производителей, допуска к объектам в связи с карантином подрядные организации на местах были вынуждены приостановить строительные работы на объектах.</w:t>
      </w:r>
    </w:p>
    <w:p>
      <w:pPr>
        <w:spacing w:after="60"/>
        <w:ind w:firstLine="567"/>
        <w:jc w:val="both"/>
      </w:pPr>
      <w:r>
        <w:rPr>
          <w:rFonts w:ascii="Arial" w:cs="Arial" w:eastAsia="Arial" w:hAnsi="Arial"/>
          <w:b/>
          <w:bCs/>
          <w:sz w:val="22"/>
          <w:szCs w:val="22"/>
        </w:rPr>
        <w:t xml:space="preserve">Сфера услуг.</w:t>
      </w:r>
      <w:r>
        <w:rPr>
          <w:rFonts w:ascii="Arial" w:cs="Arial" w:eastAsia="Arial" w:hAnsi="Arial"/>
          <w:sz w:val="22"/>
          <w:szCs w:val="22"/>
        </w:rPr>
        <w:t xml:space="preserve"> В связи с объявлением с 22 марта 2020 года на территории страны чрезвычайной ситуации, а также введением с 24 марта режима чрезвычайного положения в городах Бишкек, Ош, Джалал-Абад, Ноокатском, Кара-Суйском и Сузакском районах наиболее уязвимыми секторами сферы услуг оказались транспортный, туристический, услуги гостиниц и ресторанов, а также оптово-розничная торговля.</w:t>
      </w:r>
    </w:p>
    <w:p>
      <w:pPr>
        <w:spacing w:after="60"/>
        <w:ind w:firstLine="567"/>
        <w:jc w:val="both"/>
      </w:pPr>
      <w:r>
        <w:rPr>
          <w:rFonts w:ascii="Arial" w:cs="Arial" w:eastAsia="Arial" w:hAnsi="Arial"/>
          <w:sz w:val="22"/>
          <w:szCs w:val="22"/>
        </w:rPr>
        <w:t xml:space="preserve">Из общей численности экономически активного населения страны (2,5 млн. человек) численность населения, занятого в сфере услуг, составляет порядка 1,3 млн. человек. В результате принимаемых Правительством мер по борьбе с распространением коронавирусной инфекции (закрытие границы, авиасообщений, предприятий, торговых и развлекательных заведений, игровых клубов и т.д.) замедлилась деловая активность, количество временно высвобождаемых занятых в данной сфере составило более 500 тыс. человек.</w:t>
      </w:r>
    </w:p>
    <w:p>
      <w:pPr>
        <w:spacing w:after="60"/>
        <w:ind w:firstLine="567"/>
        <w:jc w:val="both"/>
      </w:pPr>
      <w:r>
        <w:rPr>
          <w:rFonts w:ascii="Arial" w:cs="Arial" w:eastAsia="Arial" w:hAnsi="Arial"/>
          <w:sz w:val="22"/>
          <w:szCs w:val="22"/>
        </w:rPr>
        <w:t xml:space="preserve">Из-за влияния карантинных мероприятий темп роста в сфере услуг в 2020 году ожидается на уровне 91,0% (по валовому выпуску) за счет:</w:t>
      </w:r>
    </w:p>
    <w:p>
      <w:pPr>
        <w:spacing w:after="60"/>
        <w:ind w:firstLine="567"/>
        <w:jc w:val="both"/>
      </w:pPr>
      <w:r>
        <w:rPr>
          <w:rFonts w:ascii="Arial" w:cs="Arial" w:eastAsia="Arial" w:hAnsi="Arial"/>
          <w:sz w:val="22"/>
          <w:szCs w:val="22"/>
        </w:rPr>
        <w:t xml:space="preserve">- снижения объемов оптово-розничной торговли на 11,9%. Данное снижение обусловлено закрытием государственной границы, а также некоторых крупных рынков и крупных торговых центров в городах Бишкек, Ош и Джалал-Абад в период введения режима чрезвычайного ситуации/положения.</w:t>
      </w:r>
    </w:p>
    <w:p>
      <w:pPr>
        <w:spacing w:after="60"/>
        <w:ind w:firstLine="567"/>
        <w:jc w:val="both"/>
      </w:pPr>
      <w:r>
        <w:rPr>
          <w:rFonts w:ascii="Arial" w:cs="Arial" w:eastAsia="Arial" w:hAnsi="Arial"/>
          <w:sz w:val="22"/>
          <w:szCs w:val="22"/>
        </w:rPr>
        <w:t xml:space="preserve">Снижение импорта из Китайской Народной Республики и внешнеторгового оборота с другими странами привело к сокращению производства внутри республики, особенно в швейной отрасли, поставок товаров народного потребления, оборудования и комплектующих для ряда отраслей, что приводит к снижению оборота розничной торговли и сокращению доходов населения из-за уменьшения экономической активности в регионе.</w:t>
      </w:r>
    </w:p>
    <w:p>
      <w:pPr>
        <w:spacing w:after="60"/>
        <w:ind w:firstLine="567"/>
        <w:jc w:val="both"/>
      </w:pPr>
      <w:r>
        <w:rPr>
          <w:rFonts w:ascii="Arial" w:cs="Arial" w:eastAsia="Arial" w:hAnsi="Arial"/>
          <w:sz w:val="22"/>
          <w:szCs w:val="22"/>
        </w:rPr>
        <w:t xml:space="preserve">Кроме того, объявленные в России и Казахстане усиленные меры по недопущению распространения коронавирусной инфекции привели к снижению экономической активности, что отражается на мигрантах, работающих в этих странах, и ведет к снижению поступлений денежных переводов.</w:t>
      </w:r>
    </w:p>
    <w:p>
      <w:pPr>
        <w:spacing w:after="60"/>
        <w:ind w:firstLine="567"/>
        <w:jc w:val="both"/>
      </w:pPr>
      <w:r>
        <w:rPr>
          <w:rFonts w:ascii="Arial" w:cs="Arial" w:eastAsia="Arial" w:hAnsi="Arial"/>
          <w:sz w:val="22"/>
          <w:szCs w:val="22"/>
        </w:rPr>
        <w:t xml:space="preserve">Данная ситуация неизбежно ведет к изменению структуры потребления населения в пользу увеличения потребления продуктов питания, в то же время снижению покупок товаров длительного пользования, непродовольственных товаров, кроме самых необходимых (лекарства, товары личной гигиены, моющие средства и т.д.), а также снижению объемов услуг в строительной отрасли;</w:t>
      </w:r>
    </w:p>
    <w:p>
      <w:pPr>
        <w:spacing w:after="60"/>
        <w:ind w:firstLine="567"/>
        <w:jc w:val="both"/>
      </w:pPr>
      <w:r>
        <w:rPr>
          <w:rFonts w:ascii="Arial" w:cs="Arial" w:eastAsia="Arial" w:hAnsi="Arial"/>
          <w:sz w:val="22"/>
          <w:szCs w:val="22"/>
        </w:rPr>
        <w:t xml:space="preserve">- снижения объемов транспортной деятельности на 19,0% из-за существенного сокращения общего объема автотранспортных и воздушных перевозок, в связи с закрытием авиарейсов со многими странами и внутренних воздушных перевозок. Отмена пассажирских перевозок железной дорогой также оказывает негативное влияние.</w:t>
      </w:r>
    </w:p>
    <w:p>
      <w:pPr>
        <w:spacing w:after="60"/>
        <w:ind w:firstLine="567"/>
        <w:jc w:val="both"/>
      </w:pPr>
      <w:r>
        <w:rPr>
          <w:rFonts w:ascii="Arial" w:cs="Arial" w:eastAsia="Arial" w:hAnsi="Arial"/>
          <w:sz w:val="22"/>
          <w:szCs w:val="22"/>
        </w:rPr>
        <w:t xml:space="preserve">Объявление карантина в школах и вузах, закрытие основных транспортных коридоров между регионами, в целях недопущения распространения вируса внутри страны привели к снижению внутреннего пассажиропотока.</w:t>
      </w:r>
    </w:p>
    <w:p>
      <w:pPr>
        <w:spacing w:after="60"/>
        <w:ind w:firstLine="567"/>
        <w:jc w:val="both"/>
      </w:pPr>
      <w:r>
        <w:rPr>
          <w:rFonts w:ascii="Arial" w:cs="Arial" w:eastAsia="Arial" w:hAnsi="Arial"/>
          <w:sz w:val="22"/>
          <w:szCs w:val="22"/>
        </w:rPr>
        <w:t xml:space="preserve">Кроме того, существуют проблемы, связанные с низким уровнем оснащенности отечественных перевозчиков, отсутствием соответствующего авиапарка отечественных авиаперевозчиков, недостаточным уровнем оснащенности подвижного состава ГП "Национальная компания "Кыргыз темир жолу".</w:t>
      </w:r>
    </w:p>
    <w:p>
      <w:pPr>
        <w:spacing w:after="60"/>
        <w:ind w:firstLine="567"/>
        <w:jc w:val="both"/>
      </w:pPr>
      <w:r>
        <w:rPr>
          <w:rFonts w:ascii="Arial" w:cs="Arial" w:eastAsia="Arial" w:hAnsi="Arial"/>
          <w:sz w:val="22"/>
          <w:szCs w:val="22"/>
        </w:rPr>
        <w:t xml:space="preserve">При этом в настоящее время к полноценному функционированию возвращается деятельность по грузовым перевозкам (автомобильным, железнодорожным и авиатранспортом), также, ввиду снятия отдельных ограничений с конца августа 2020 года в полном объеме будет функционировать внутренний пассажирский транспорт, что в свою очередь положительно повлияет на общие показатели транспортной деятельности в 2020 году.</w:t>
      </w:r>
    </w:p>
    <w:p>
      <w:pPr>
        <w:spacing w:after="60"/>
        <w:ind w:firstLine="567"/>
        <w:jc w:val="both"/>
      </w:pPr>
      <w:r>
        <w:rPr>
          <w:rFonts w:ascii="Arial" w:cs="Arial" w:eastAsia="Arial" w:hAnsi="Arial"/>
          <w:sz w:val="22"/>
          <w:szCs w:val="22"/>
        </w:rPr>
        <w:t xml:space="preserve">Реализация автомобилей может прекратиться до конца года, если ситуация будет длиться более продолжительное время. Снижение объемов транспортных услуг приведет к снижению реализации горюче-смазочных материалов и запасных частей к автомобилям:</w:t>
      </w:r>
    </w:p>
    <w:p>
      <w:pPr>
        <w:spacing w:after="60"/>
        <w:ind w:firstLine="567"/>
        <w:jc w:val="both"/>
      </w:pPr>
      <w:r>
        <w:rPr>
          <w:rFonts w:ascii="Arial" w:cs="Arial" w:eastAsia="Arial" w:hAnsi="Arial"/>
          <w:sz w:val="22"/>
          <w:szCs w:val="22"/>
        </w:rPr>
        <w:t xml:space="preserve">- снижения объемов в отрасли "искусство, развлечения и отдых" на 28,8%, что связано с закрытием культурно-развлекательных центров, крупных торговых точек;</w:t>
      </w:r>
    </w:p>
    <w:p>
      <w:pPr>
        <w:spacing w:after="60"/>
        <w:ind w:firstLine="567"/>
        <w:jc w:val="both"/>
      </w:pPr>
      <w:r>
        <w:rPr>
          <w:rFonts w:ascii="Arial" w:cs="Arial" w:eastAsia="Arial" w:hAnsi="Arial"/>
          <w:sz w:val="22"/>
          <w:szCs w:val="22"/>
        </w:rPr>
        <w:t xml:space="preserve">- снижения объемов услуг гостиниц и ресторанов до уровня 74,0%, так как из-за пандемии туристы отменяют поездки, представители туристического бизнеса отмечают потери (по итогам туристического сезона потери сектора туризма могут быть колоссальными, и показатели могут стать самыми низкими за последние 10 лет, особенно в тех секторах, которые были ориентированы на зарубежных туристов). Также постановлением Правительства Кыргызской Республики "О мерах по предотвращению угрозы возникновения и распространения коронавирусной инфекции (COVID-I9) на территории Кыргызской Республики" от 17 марта 2020 года № 163, были временно закрыты рестораны и предприятия общепита с 50 и более посадочными местами, а также введен запрет на проведение массовых мероприятий, включая празднования в ресторанах.</w:t>
      </w:r>
    </w:p>
    <w:p>
      <w:pPr>
        <w:spacing w:after="60"/>
        <w:ind w:firstLine="567"/>
        <w:jc w:val="both"/>
      </w:pPr>
      <w:r>
        <w:rPr>
          <w:rFonts w:ascii="Arial" w:cs="Arial" w:eastAsia="Arial" w:hAnsi="Arial"/>
          <w:sz w:val="22"/>
          <w:szCs w:val="22"/>
        </w:rPr>
        <w:t xml:space="preserve">Начиная с июля 2019 года наблюдался выход отрасли услуг связи на положительные темпы роста, тогда как в предыдущие годы (начиная с 2016 года) наблюдалось продолжительное снижение показателей развития. В 2020 году отрасль услуг связи ожидается на уровне 101,0%.</w:t>
      </w:r>
    </w:p>
    <w:p>
      <w:pPr>
        <w:spacing w:after="60"/>
        <w:ind w:firstLine="567"/>
        <w:jc w:val="both"/>
      </w:pPr>
      <w:r>
        <w:rPr>
          <w:rFonts w:ascii="Arial" w:cs="Arial" w:eastAsia="Arial" w:hAnsi="Arial"/>
          <w:sz w:val="22"/>
          <w:szCs w:val="22"/>
        </w:rPr>
        <w:t xml:space="preserve">Сохранение мировой тенденции к росту для телекоммуникационных компаний будет иметь место и по отношению к отечественным сотовым операторам. Кроме того, перевод работы многих государственных органов и учреждений на удаленную работу, а также удаленное обучение студентов и школьников будет способствовать росту уровня оказываемых услуг связи.</w:t>
      </w:r>
    </w:p>
    <w:p>
      <w:pPr>
        <w:spacing w:after="60"/>
        <w:ind w:firstLine="567"/>
        <w:jc w:val="both"/>
      </w:pPr>
      <w:r>
        <w:rPr>
          <w:rFonts w:ascii="Arial" w:cs="Arial" w:eastAsia="Arial" w:hAnsi="Arial"/>
          <w:sz w:val="22"/>
          <w:szCs w:val="22"/>
        </w:rPr>
        <w:t xml:space="preserve">Будут продолжены мероприятия по внедрению механизмов взаимодействия государственных органов посредством единой системы межведомственного электронного взаимодействия "Тундук", переводу отдельных государственных услуг в цифровой формат и дальнейшему их размещению на государственном портале электронных услуг, реализации проекта "Digital CASA - Кыргызская Республика", который направлен на расширение доступа к более доступному Интернету, привлечению частных инвестиций в сектор информационно-коммуникационных технологий и повышению возможностей Правительства предоставлять услуги "цифрового правительства" в Кыргызской Республике.</w:t>
      </w:r>
    </w:p>
    <w:p>
      <w:pPr>
        <w:spacing w:after="60"/>
        <w:ind w:firstLine="567"/>
        <w:jc w:val="both"/>
      </w:pPr>
      <w:r>
        <w:rPr>
          <w:rFonts w:ascii="Arial" w:cs="Arial" w:eastAsia="Arial" w:hAnsi="Arial"/>
          <w:sz w:val="22"/>
          <w:szCs w:val="22"/>
        </w:rPr>
        <w:t xml:space="preserve">Таким образом, в условиях чрезвычайной ситуации на территории страны (исходя из предположения, что негативные эффекты будут сильно влиять на спрос и не окажут существенного влияния на производственный потенциал) в 2020 году ожидается снижение объема ВВП на 5,3%, после чего в 2021 году, благодаря принимаемым мерам политики, восстановлению экономик основных торговых партнеров и оживлению торговли, прогнозируется постепенное восстановление экономики.</w:t>
      </w:r>
    </w:p>
    <w:p>
      <w:pPr>
        <w:spacing w:after="60"/>
        <w:ind w:firstLine="567"/>
        <w:jc w:val="both"/>
      </w:pPr>
      <w:r>
        <w:rPr>
          <w:rFonts w:ascii="Arial" w:cs="Arial" w:eastAsia="Arial" w:hAnsi="Arial"/>
          <w:sz w:val="22"/>
          <w:szCs w:val="22"/>
        </w:rPr>
        <w:t xml:space="preserve">Основные ожидаемые социально-экономические показатели в 2020 году сложатся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4</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2"/>
          <w:szCs w:val="22"/>
        </w:rPr>
        <w:t xml:space="preserve">Структура и темпы роста по отраслям, формирующим ВВП
 </w:t>
      </w:r>
      <w:r>
        <w:rPr>
          <w:rFonts w:ascii="Arial" w:cs="Arial" w:eastAsia="Arial" w:hAnsi="Arial"/>
          <w:sz w:val="22"/>
          <w:szCs w:val="22"/>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6"/>
        <w:gridCol w:w="1068"/>
        <w:gridCol w:w="1068"/>
        <w:gridCol w:w="1068"/>
        <w:gridCol w:w="1167"/>
        <w:gridCol w:w="1167"/>
        <w:gridCol w:w="1167"/>
        <w:gridCol w:w="1167"/>
      </w:tblGrid>
      <w:tr>
        <w:tc>
          <w:tcPr>
            <w:tcW w:type="dxa" w:w="23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 предварительный факт</w:t>
            </w:r>
          </w:p>
        </w:tc>
        <w:tc>
          <w:tcPr>
            <w:tcW w:type="dxa" w:w="466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ожидаемое</w:t>
            </w:r>
          </w:p>
        </w:tc>
      </w:tr>
      <w:tr>
        <w:tc>
          <w:tcPr>
            <w:vMerge w:val="continue"/>
            <w:tcBorders>
              <w:top w:val="single" w:color="CBBF9E" w:sz="4"/>
              <w:left w:val="single" w:color="CBBF9E" w:sz="4"/>
              <w:bottom w:val="single" w:color="CBBF9E" w:sz="4"/>
              <w:right w:val="single" w:color="CBBF9E" w:sz="4"/>
            </w:tcBorders>
          </w:tcP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105409,8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106238,0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71335,2</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75817,9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0,24</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57479,3</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59819,5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0,28</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276797,7</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263017,0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79020,4</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78269,5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bl>
    <w:p>
      <w:pPr>
        <w:spacing w:after="60" w:before="120"/>
        <w:ind w:firstLine="567"/>
        <w:jc w:val="both"/>
      </w:pPr>
      <w:r>
        <w:rPr>
          <w:rFonts w:ascii="Arial" w:cs="Arial" w:eastAsia="Arial" w:hAnsi="Arial"/>
          <w:sz w:val="22"/>
          <w:szCs w:val="22"/>
        </w:rPr>
        <w:t xml:space="preserve">Ожидаемый темп роста ВВП на уровне 94,7% будет связан с отрицательным вкладом в ВВП двух отраслей экономики, в том числе отраслей, оказывающих услуги - (-)4,3 процентного пункта, промышленности - (-)0,9 процентного пункта. Положительное влияние на ВВП будет оказывать вклад сельского хозяйства, который ожидается на уровне 0,24 процентного пункта, строительной отрасли - 0,28 процентного пункта. В 2020 году номинальный объем ВВП ожидается в сумме 583,2 млрд. сомов.</w:t>
      </w:r>
    </w:p>
    <w:p>
      <w:pPr>
        <w:spacing w:after="60"/>
        <w:ind w:firstLine="567"/>
        <w:jc w:val="both"/>
      </w:pPr>
      <w:r>
        <w:rPr>
          <w:rFonts w:ascii="Arial" w:cs="Arial" w:eastAsia="Arial" w:hAnsi="Arial"/>
          <w:sz w:val="22"/>
          <w:szCs w:val="22"/>
        </w:rPr>
        <w:t xml:space="preserve">В региональном разрезе основная доля производства ВВП в 2020 году будет обеспечиваться за счет функционирования экономик города Бишкек, Чуйской, Иссык-Кульской и Джалал-Абадской областей, с удельным весом 78,4%, суммарный отрицательный вклад которых в рост ВВП республики составит 4,33 процентного пункта. Значительные доли в общем объеме производства ВВП Джалал-Абадской (12,1%) и Иссык-Кульской (11,2%)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2"/>
          <w:szCs w:val="22"/>
        </w:rPr>
        <w:t xml:space="preserve">Оставшаяся часть доли будет распределена между другими областями с удельным весом на уровне 21,6% - Ошская, Баткенская, Нарынская, Таласская области и город Ош.</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2"/>
          <w:szCs w:val="22"/>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Вклады регионов в производство ВВП(10)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7"/>
        <w:gridCol w:w="1312"/>
        <w:gridCol w:w="1312"/>
        <w:gridCol w:w="1297"/>
        <w:gridCol w:w="1297"/>
        <w:gridCol w:w="1297"/>
        <w:gridCol w:w="1297"/>
      </w:tblGrid>
      <w:tr>
        <w:tc>
          <w:tcPr>
            <w:tcW w:type="dxa" w:w="23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26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 оценка</w:t>
            </w:r>
          </w:p>
        </w:tc>
        <w:tc>
          <w:tcPr>
            <w:tcW w:type="dxa" w:w="51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ожидаемое</w:t>
            </w:r>
          </w:p>
        </w:tc>
      </w:tr>
      <w:tr>
        <w:tc>
          <w:tcPr>
            <w:vMerge w:val="continue"/>
            <w:tcBorders>
              <w:top w:val="single" w:color="CBBF9E" w:sz="4"/>
              <w:left w:val="single" w:color="CBBF9E" w:sz="4"/>
              <w:bottom w:val="single" w:color="CBBF9E" w:sz="4"/>
              <w:right w:val="single" w:color="CBBF9E" w:sz="4"/>
            </w:tcBorders>
          </w:tcP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вклад в рост ВВП, п.п.</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ВВП (республика)</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590042,4</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104,5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583361,9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94,7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-5,3</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18279,3</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19125,1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0,02</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69928,5</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65110,1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70621,4</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70772,8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-0,61</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14511,1</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14557,5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44333,0</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43830,6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-0,40</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15065,4</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14318,7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-0,22</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85532,8</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88407,8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-0,13</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Бишкек</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237302,5</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232735,0</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Ош</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34468,3</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34304,3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-0,26</w:t>
            </w:r>
          </w:p>
        </w:tc>
      </w:tr>
    </w:tbl>
    <w:p>
      <w:pPr>
        <w:spacing w:after="60" w:before="120"/>
        <w:ind w:firstLine="567"/>
        <w:jc w:val="both"/>
      </w:pPr>
      <w:r>
        <w:rPr>
          <w:rFonts w:ascii="Arial" w:cs="Arial" w:eastAsia="Arial" w:hAnsi="Arial"/>
          <w:sz w:val="22"/>
          <w:szCs w:val="22"/>
        </w:rPr>
        <w:t xml:space="preserve">В 2020 году уровень инфляции ожидается в пределах целевых среднесрочных ориентиров денежно-кредитной политики (5-7%) и не превысит однозначных значений. Уровень инфляции будет характеризовать повышенный спрос на продовольственные товары в весенние месяцы, связанный с введением ЧС/ЧП в отдельных регионах страны, некоторым укреплением доллара США по отношению к национальной валюте, а также зависимостью внутреннего рынка от импорта товаров, волатильностью финансового рынка, сезонными колебаниями цен на продовольственные товары (фрукты, овощи) и др. При этом, в случае сохранения влияния негативных факторов на динамику инфляционных процессов и возникновения дополнительных внешних шоков прогнозные значения могут превысить целевой ориентир. Национальный банк Кыргызской Республики на регулярной основе оценивает факторы воздействия на ценовую и финансовую стабильность и, в зависимости от экономической ситуации, будет принимать соответствующие меры денежно-кредитной политики.</w:t>
      </w:r>
    </w:p>
    <w:p>
      <w:pPr>
        <w:spacing w:after="60"/>
        <w:ind w:firstLine="567"/>
        <w:jc w:val="both"/>
      </w:pPr>
      <w:r>
        <w:rPr>
          <w:rFonts w:ascii="Arial" w:cs="Arial" w:eastAsia="Arial" w:hAnsi="Arial"/>
          <w:sz w:val="22"/>
          <w:szCs w:val="22"/>
        </w:rPr>
        <w:t xml:space="preserve">В условиях принятия необходимых мер по сдерживанию распространения коронавирусной инфекции, приоритетными направлениями обеспечения стабильности государственного бюджета и оптимизации бюджетных расходов будут:</w:t>
      </w:r>
    </w:p>
    <w:p>
      <w:pPr>
        <w:spacing w:after="60"/>
        <w:ind w:firstLine="567"/>
        <w:jc w:val="both"/>
      </w:pPr>
      <w:r>
        <w:rPr>
          <w:rFonts w:ascii="Arial" w:cs="Arial" w:eastAsia="Arial" w:hAnsi="Arial"/>
          <w:sz w:val="22"/>
          <w:szCs w:val="22"/>
        </w:rPr>
        <w:t xml:space="preserve">- направление финансовых средств на реализацию неотложных мероприятий по противодействию распространения коронавирусной инфекции;</w:t>
      </w:r>
    </w:p>
    <w:p>
      <w:pPr>
        <w:spacing w:after="60"/>
        <w:ind w:firstLine="567"/>
        <w:jc w:val="both"/>
      </w:pPr>
      <w:r>
        <w:rPr>
          <w:rFonts w:ascii="Arial" w:cs="Arial" w:eastAsia="Arial" w:hAnsi="Arial"/>
          <w:sz w:val="22"/>
          <w:szCs w:val="22"/>
        </w:rPr>
        <w:t xml:space="preserve">- обеспечение полноценного осуществления важных социальных выплат;</w:t>
      </w:r>
    </w:p>
    <w:p>
      <w:pPr>
        <w:spacing w:after="60"/>
        <w:ind w:firstLine="567"/>
        <w:jc w:val="both"/>
      </w:pPr>
      <w:r>
        <w:rPr>
          <w:rFonts w:ascii="Arial" w:cs="Arial" w:eastAsia="Arial" w:hAnsi="Arial"/>
          <w:sz w:val="22"/>
          <w:szCs w:val="22"/>
        </w:rPr>
        <w:t xml:space="preserve">- перенос неактуальных проектов и расходов на последующие периоды исходя из уровня их важности;</w:t>
      </w:r>
    </w:p>
    <w:p>
      <w:pPr>
        <w:spacing w:after="60"/>
        <w:ind w:firstLine="567"/>
        <w:jc w:val="both"/>
      </w:pPr>
      <w:r>
        <w:rPr>
          <w:rFonts w:ascii="Arial" w:cs="Arial" w:eastAsia="Arial" w:hAnsi="Arial"/>
          <w:sz w:val="22"/>
          <w:szCs w:val="22"/>
        </w:rPr>
        <w:t xml:space="preserve">- принятие во внимание приоритетности и социальной направленности проектов при сокращении бюджетных средств, направляемых на выполнение государственных программ;</w:t>
      </w:r>
    </w:p>
    <w:p>
      <w:pPr>
        <w:spacing w:after="60"/>
        <w:ind w:firstLine="567"/>
        <w:jc w:val="both"/>
      </w:pPr>
      <w:r>
        <w:rPr>
          <w:rFonts w:ascii="Arial" w:cs="Arial" w:eastAsia="Arial" w:hAnsi="Arial"/>
          <w:sz w:val="22"/>
          <w:szCs w:val="22"/>
        </w:rPr>
        <w:t xml:space="preserve">- осуществление выплат по внутренним и внешним обязательствам государства, в том числе за поставленные товары, выполненные работы и услуги;</w:t>
      </w:r>
    </w:p>
    <w:p>
      <w:pPr>
        <w:spacing w:after="60"/>
        <w:ind w:firstLine="567"/>
        <w:jc w:val="both"/>
      </w:pPr>
      <w:r>
        <w:rPr>
          <w:rFonts w:ascii="Arial" w:cs="Arial" w:eastAsia="Arial" w:hAnsi="Arial"/>
          <w:sz w:val="22"/>
          <w:szCs w:val="22"/>
        </w:rPr>
        <w:t xml:space="preserve">- повышение ответственности за эффективное и целенаправленное использование бюджетных средств в сложившейся ситуации.</w:t>
      </w:r>
    </w:p>
    <w:p>
      <w:pPr>
        <w:spacing w:after="60"/>
        <w:ind w:firstLine="567"/>
        <w:jc w:val="both"/>
      </w:pPr>
      <w:r>
        <w:rPr>
          <w:rFonts w:ascii="Arial" w:cs="Arial" w:eastAsia="Arial" w:hAnsi="Arial"/>
          <w:sz w:val="22"/>
          <w:szCs w:val="22"/>
        </w:rPr>
        <w:t xml:space="preserve">Распространение коронавирусной инфекции в мире и в нашей стране оказывает давление на рынок труда, что негативно влияет на социальные показатели и занятость населения. Исходя из вышеуказанных ожидаемых макроэкономических параметров экономики, основные социальные показатели, характеризующие уровень жизни населения, будут складываться следующим образом:</w:t>
      </w:r>
    </w:p>
    <w:p>
      <w:pPr>
        <w:spacing w:after="60"/>
        <w:ind w:firstLine="567"/>
        <w:jc w:val="both"/>
      </w:pPr>
      <w:r>
        <w:rPr>
          <w:rFonts w:ascii="Arial" w:cs="Arial" w:eastAsia="Arial" w:hAnsi="Arial"/>
          <w:sz w:val="22"/>
          <w:szCs w:val="22"/>
        </w:rPr>
        <w:t xml:space="preserve">- объем ВВП на душу населения ожидается в размере 92,1 тыс. сомов и снизится на 2,1%;</w:t>
      </w:r>
    </w:p>
    <w:p>
      <w:pPr>
        <w:spacing w:after="60"/>
        <w:ind w:firstLine="567"/>
        <w:jc w:val="both"/>
      </w:pPr>
      <w:r>
        <w:rPr>
          <w:rFonts w:ascii="Arial" w:cs="Arial" w:eastAsia="Arial" w:hAnsi="Arial"/>
          <w:sz w:val="22"/>
          <w:szCs w:val="22"/>
        </w:rPr>
        <w:t xml:space="preserve">- ожидается номинальное снижение денежных доходов на 0,2%, а реальное - на 5,8%;</w:t>
      </w:r>
    </w:p>
    <w:p>
      <w:pPr>
        <w:spacing w:after="60"/>
        <w:ind w:firstLine="567"/>
        <w:jc w:val="both"/>
      </w:pPr>
      <w:r>
        <w:rPr>
          <w:rFonts w:ascii="Arial" w:cs="Arial" w:eastAsia="Arial" w:hAnsi="Arial"/>
          <w:sz w:val="22"/>
          <w:szCs w:val="22"/>
        </w:rPr>
        <w:t xml:space="preserve">- в структуре денежных доходов ожидается рост среднемесячной заработной платы, которая номинально вырастет на 5,0%, а ее реальный размер, с учетом роста потребительских цен, снизится на 0,9%;</w:t>
      </w:r>
    </w:p>
    <w:p>
      <w:pPr>
        <w:spacing w:after="60"/>
        <w:ind w:firstLine="567"/>
        <w:jc w:val="both"/>
      </w:pPr>
      <w:r>
        <w:rPr>
          <w:rFonts w:ascii="Arial" w:cs="Arial" w:eastAsia="Arial" w:hAnsi="Arial"/>
          <w:sz w:val="22"/>
          <w:szCs w:val="22"/>
        </w:rPr>
        <w:t xml:space="preserve">- размер прожиточного минимума ожидается на уровне 5094,7 сома. Коэффициент отношения среднемесячной заработной платы к прожиточному минимуму взрослого населения трудоспособного возраста сложится на уровне 3,17;</w:t>
      </w:r>
    </w:p>
    <w:p>
      <w:pPr>
        <w:spacing w:after="60"/>
        <w:ind w:firstLine="567"/>
        <w:jc w:val="both"/>
      </w:pPr>
      <w:r>
        <w:rPr>
          <w:rFonts w:ascii="Arial" w:cs="Arial" w:eastAsia="Arial" w:hAnsi="Arial"/>
          <w:sz w:val="22"/>
          <w:szCs w:val="22"/>
        </w:rPr>
        <w:t xml:space="preserve">- введенные ограничения деятельности предприятий и перемещения людей оказали негативное влияние на экономику (были закрыты школы, под запретом оказались массовые скопления людей, перенесены спортивные и культурные мероприятия, закрыты офисы в связи с переводом сотрудников на удаленную работу). В результате в 2020 году ожидается снижение количества рабочих мест и численности занятых в экономике, что ведет к росту уровня безработицы - до 7,3% в 2020 году, увеличившись на 1,1 процентного пункта по сравнению с 2018 годом (2018 год - 6,2%).</w:t>
      </w:r>
    </w:p>
    <w:p>
      <w:pPr>
        <w:spacing w:after="60"/>
        <w:ind w:firstLine="567"/>
        <w:jc w:val="both"/>
      </w:pPr>
      <w:r>
        <w:rPr>
          <w:rFonts w:ascii="Arial" w:cs="Arial" w:eastAsia="Arial" w:hAnsi="Arial"/>
          <w:sz w:val="22"/>
          <w:szCs w:val="22"/>
        </w:rPr>
        <w:t xml:space="preserve">Ключевым риском для прогноза является возможность в краткосрочной перспективе ухудшения ситуации в мировой экономике из-за продления ситуации с распространением коронавирусной инфекции при возможных второй волне пандемии и связанных с этим ограничениях.</w:t>
      </w:r>
    </w:p>
    <w:p>
      <w:pPr>
        <w:spacing w:after="200" w:before="200"/>
        <w:jc w:val="center"/>
      </w:pPr>
      <w:r>
        <w:rPr>
          <w:rFonts w:ascii="Arial" w:cs="Arial" w:eastAsia="Arial" w:hAnsi="Arial"/>
          <w:b/>
          <w:bCs/>
          <w:sz w:val="22"/>
          <w:szCs w:val="22"/>
        </w:rPr>
        <w:t xml:space="preserve">6. Макроэкономический прогноз на 2021 год</w:t>
      </w:r>
    </w:p>
    <w:p>
      <w:pPr>
        <w:spacing w:after="60" w:before="200"/>
        <w:ind w:firstLine="567"/>
        <w:jc w:val="both"/>
      </w:pPr>
      <w:r>
        <w:rPr>
          <w:rFonts w:ascii="Arial" w:cs="Arial" w:eastAsia="Arial" w:hAnsi="Arial"/>
          <w:b/>
          <w:bCs/>
          <w:sz w:val="22"/>
          <w:szCs w:val="22"/>
        </w:rPr>
        <w:t xml:space="preserve">6.1. Макроэкономическая политика</w:t>
      </w:r>
    </w:p>
    <w:p>
      <w:pPr>
        <w:spacing w:after="60"/>
        <w:ind w:firstLine="567"/>
        <w:jc w:val="both"/>
      </w:pPr>
      <w:r>
        <w:rPr>
          <w:rFonts w:ascii="Arial" w:cs="Arial" w:eastAsia="Arial" w:hAnsi="Arial"/>
          <w:sz w:val="22"/>
          <w:szCs w:val="22"/>
        </w:rPr>
        <w:t xml:space="preserve">В 2021 году, после ожидания прекращения и стабилизации ситуации, вызванной вспышкой коронавирусной инфекции COVID-19, в экономике прогнозируется начало постепенного восстановления.</w:t>
      </w:r>
    </w:p>
    <w:p>
      <w:pPr>
        <w:spacing w:after="60"/>
        <w:ind w:firstLine="567"/>
        <w:jc w:val="both"/>
      </w:pPr>
      <w:r>
        <w:rPr>
          <w:rFonts w:ascii="Arial" w:cs="Arial" w:eastAsia="Arial" w:hAnsi="Arial"/>
          <w:sz w:val="22"/>
          <w:szCs w:val="22"/>
        </w:rPr>
        <w:t xml:space="preserve">Главной целью макроэкономической политики на 2021 год будет обеспечение положительной динамики экономического роста и создание условий для восстановления экономического развития страны. Достижение этих целей предусматривает реализацию мер по следующим направлениям: 1) создание благоприятных условий для предпринимательства; 2) улучшение делового климата и стимулирование инвестиционной активности; 3) создание условий для повышения производительности в реальном секторе экономики; 4) укрепление внешнеторговых связей и развитие внутреннего рынка. 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2"/>
          <w:szCs w:val="22"/>
        </w:rPr>
        <w:t xml:space="preserve">Приоритетной задачей Правительства Кыргызской Республики будет </w:t>
      </w:r>
      <w:r>
        <w:rPr>
          <w:rFonts w:ascii="Arial" w:cs="Arial" w:eastAsia="Arial" w:hAnsi="Arial"/>
          <w:sz w:val="22"/>
          <w:szCs w:val="22"/>
        </w:rPr>
        <w:t xml:space="preserve">оставаться успешная и своевременная реализация Программы деятельности Правительства Кыргызской Республики (постановление Жогорку Кенеша Кыргызской Республики от 17 июня 2020 года № 3876-V</w:t>
      </w:r>
      <w:r>
        <w:rPr>
          <w:rFonts w:ascii="Arial" w:cs="Arial" w:eastAsia="Arial" w:hAnsi="Arial"/>
          <w:sz w:val="22"/>
          <w:szCs w:val="22"/>
        </w:rPr>
        <w:t xml:space="preserve">I</w:t>
      </w:r>
      <w:r>
        <w:rPr>
          <w:rFonts w:ascii="Arial" w:cs="Arial" w:eastAsia="Arial" w:hAnsi="Arial"/>
          <w:sz w:val="22"/>
          <w:szCs w:val="22"/>
        </w:rPr>
        <w:t xml:space="preserve">), Национальной стратегии развития Кыргызской Республики на 2018-2040 годы (Указ Президента Кыргызской Республики от 31 октября 2018 года № 221), направленных на укрепление экономики, усиление потенциала и развитие производства, а также улучшение качества и благосостояния народа.</w:t>
      </w:r>
    </w:p>
    <w:p>
      <w:pPr>
        <w:spacing w:after="60"/>
        <w:ind w:firstLine="567"/>
        <w:jc w:val="both"/>
      </w:pPr>
      <w:r>
        <w:rPr>
          <w:rFonts w:ascii="Arial" w:cs="Arial" w:eastAsia="Arial" w:hAnsi="Arial"/>
          <w:sz w:val="22"/>
          <w:szCs w:val="22"/>
        </w:rPr>
        <w:t xml:space="preserve">Экономическая политика будет направлена на стимулирование развития отраслей, имеющих высокий потенциал для импортозамещения</w:t>
      </w:r>
      <w:r>
        <w:rPr>
          <w:rFonts w:ascii="Arial" w:cs="Arial" w:eastAsia="Arial" w:hAnsi="Arial"/>
          <w:sz w:val="22"/>
          <w:szCs w:val="22"/>
        </w:rPr>
        <w:t xml:space="preserve">, создающих рабочие места и повышающих благосостояние народа. Будут привлекаться иностранные инвестиции, при этом будет выстроен разумный баланс между привлечением внешних заимствований и использованием собственных ресурсов для развития. Политика заимствований будет построена так, чтобы не допустить чрезмерной зависимости ни от одной страны мира.</w:t>
      </w:r>
    </w:p>
    <w:p>
      <w:pPr>
        <w:spacing w:after="60"/>
        <w:ind w:firstLine="567"/>
        <w:jc w:val="both"/>
      </w:pPr>
      <w:r>
        <w:rPr>
          <w:rFonts w:ascii="Arial" w:cs="Arial" w:eastAsia="Arial" w:hAnsi="Arial"/>
          <w:sz w:val="22"/>
          <w:szCs w:val="22"/>
        </w:rPr>
        <w:t xml:space="preserve">Будут обеспечены гарантии инвесторам, малому и среднему бизнесу, разработаны механизмы для доступа к финансовым ресурсам на долгосрочный период, расширены возможности ОАО "Гарантийный фонд".</w:t>
      </w:r>
    </w:p>
    <w:p>
      <w:pPr>
        <w:spacing w:after="60"/>
        <w:ind w:firstLine="567"/>
        <w:jc w:val="both"/>
      </w:pPr>
      <w:r>
        <w:rPr>
          <w:rFonts w:ascii="Arial" w:cs="Arial" w:eastAsia="Arial" w:hAnsi="Arial"/>
          <w:sz w:val="22"/>
          <w:szCs w:val="22"/>
        </w:rPr>
        <w:t xml:space="preserve">Экономическое развитие в 2021 году и прогнозируемом горизонте (2022-2023 годы) будет строиться на гипотезе продолжения влияния как внешних, так и внутренних факторов на развитие национальной экономики. Ожидается улучшение тренда во внешнеэкономических показателях в связи со стабилизацией экономики в регионе.</w:t>
      </w:r>
    </w:p>
    <w:p>
      <w:pPr>
        <w:spacing w:after="60" w:before="200"/>
        <w:ind w:firstLine="567"/>
        <w:jc w:val="both"/>
      </w:pPr>
      <w:r>
        <w:rPr>
          <w:rFonts w:ascii="Arial" w:cs="Arial" w:eastAsia="Arial" w:hAnsi="Arial"/>
          <w:b/>
          <w:bCs/>
          <w:sz w:val="22"/>
          <w:szCs w:val="22"/>
        </w:rPr>
        <w:t xml:space="preserve">6.2. Денежно-кредитная политика</w:t>
      </w:r>
    </w:p>
    <w:p>
      <w:pPr>
        <w:spacing w:after="60"/>
        <w:ind w:firstLine="567"/>
        <w:jc w:val="both"/>
      </w:pPr>
      <w:r>
        <w:rPr>
          <w:rFonts w:ascii="Arial" w:cs="Arial" w:eastAsia="Arial" w:hAnsi="Arial"/>
          <w:sz w:val="22"/>
          <w:szCs w:val="22"/>
        </w:rPr>
        <w:t xml:space="preserve">Национальный банк будет проводить денежно-кредитную политику в рамках Основных направлений денежно-кредитной политики на среднесрочный период, утвержденных постановлением Правления Национального банка Кыргызской Республики от 13 декабря 2017 года № 2017-П-07/51-1-(ДКП). Достижение и поддержание стабильности цен в среднесрочном периоде посредством проведения соответствующей денежно-кредитной политики остается основной целью деятельности Национального банка.</w:t>
      </w:r>
    </w:p>
    <w:p>
      <w:pPr>
        <w:spacing w:after="60"/>
        <w:ind w:firstLine="567"/>
        <w:jc w:val="both"/>
      </w:pPr>
      <w:r>
        <w:rPr>
          <w:rFonts w:ascii="Arial" w:cs="Arial" w:eastAsia="Arial" w:hAnsi="Arial"/>
          <w:sz w:val="22"/>
          <w:szCs w:val="22"/>
        </w:rPr>
        <w:t xml:space="preserve">Национальный банк продолжит проведение денежно-кредитной политики, направленной на поддержание ценовой стабильности, которая будет способствовать макроэкономической стабильности в стране.</w:t>
      </w:r>
    </w:p>
    <w:p>
      <w:pPr>
        <w:spacing w:after="60"/>
        <w:ind w:firstLine="567"/>
        <w:jc w:val="both"/>
      </w:pPr>
      <w:r>
        <w:rPr>
          <w:rFonts w:ascii="Arial" w:cs="Arial" w:eastAsia="Arial" w:hAnsi="Arial"/>
          <w:sz w:val="22"/>
          <w:szCs w:val="22"/>
        </w:rPr>
        <w:t xml:space="preserve">Стабильная и предсказуемая инфляция является одной из ключевых составляющих макроэкономической устойчивости. Ценовая стабильность стимулирует предприятия и домашние хозяйства к долгосрочному планированию и осуществлению инвестиций, что в свою очередь служит основой для долгосрочного экономического роста и увеличения благосостояния населения. Поддержание инфляции на стабильном уровне будет также способствовать формированию рациональных инфляционных ожиданий экономических субъектов.</w:t>
      </w:r>
    </w:p>
    <w:p>
      <w:pPr>
        <w:spacing w:after="60"/>
        <w:ind w:firstLine="567"/>
        <w:jc w:val="both"/>
      </w:pPr>
      <w:r>
        <w:rPr>
          <w:rFonts w:ascii="Arial" w:cs="Arial" w:eastAsia="Arial" w:hAnsi="Arial"/>
          <w:sz w:val="22"/>
          <w:szCs w:val="22"/>
        </w:rPr>
        <w:t xml:space="preserve">С учетом ожидаемых макроэкономических условий денежно-кредитная политика будет направлена на формирование благоприятной инфляционной среды в стране и удержание уровня инфляции в пределах среднесрочного целевого ориентира - 5,0-7,0%.</w:t>
      </w:r>
    </w:p>
    <w:p>
      <w:pPr>
        <w:spacing w:after="60"/>
        <w:ind w:firstLine="567"/>
        <w:jc w:val="both"/>
      </w:pPr>
      <w:r>
        <w:rPr>
          <w:rFonts w:ascii="Arial" w:cs="Arial" w:eastAsia="Arial" w:hAnsi="Arial"/>
          <w:sz w:val="22"/>
          <w:szCs w:val="22"/>
        </w:rPr>
        <w:t xml:space="preserve">Для реализации поставленной цели Национальный банк будет использовать все имеющиеся в его распоряжении инструменты монетарной политики.</w:t>
      </w:r>
    </w:p>
    <w:p>
      <w:pPr>
        <w:spacing w:after="60"/>
        <w:ind w:firstLine="567"/>
        <w:jc w:val="both"/>
      </w:pPr>
      <w:r>
        <w:rPr>
          <w:rFonts w:ascii="Arial" w:cs="Arial" w:eastAsia="Arial" w:hAnsi="Arial"/>
          <w:sz w:val="22"/>
          <w:szCs w:val="22"/>
        </w:rPr>
        <w:t xml:space="preserve">Важным условием эффективного влияния денежно-кредитной политики на экономику является плавающий валютный курс. В этой связи Национальный банк следует принятому Кыргызской Республикой режиму плавающего обменного курса, который формируется через рыночные механизмы на основе спроса и предложения. Действия Национального банка на внутреннем валютном рынке будут направлены на сглаживание резких колебаний обменного курса. Продолжится работа по оценке рисков и последствий возможного влияния внешних факторов на внутренний валютный рынок. В случае усиления внешних рисков будут приняты необходимые меры денежно-кредитной политики для смягчения возможных негативных последствий.</w:t>
      </w:r>
    </w:p>
    <w:p>
      <w:pPr>
        <w:spacing w:after="60"/>
        <w:ind w:firstLine="567"/>
        <w:jc w:val="both"/>
      </w:pPr>
      <w:r>
        <w:rPr>
          <w:rFonts w:ascii="Arial" w:cs="Arial" w:eastAsia="Arial" w:hAnsi="Arial"/>
          <w:sz w:val="22"/>
          <w:szCs w:val="22"/>
        </w:rPr>
        <w:t xml:space="preserve">В рамках среднесрочных планов по постепенному переходу на инфляционное таргетирование продолжится работа по совершенствованию каналов воздействия мер денежно-кредитной политики на экономику страны в целом. Основные силы будут сосредоточены на повышении эффективности функционирования процентного канала трансмиссионного механизма денежно-кредитной политики.</w:t>
      </w:r>
    </w:p>
    <w:p>
      <w:pPr>
        <w:spacing w:after="60"/>
        <w:ind w:firstLine="567"/>
        <w:jc w:val="both"/>
      </w:pPr>
      <w:r>
        <w:rPr>
          <w:rFonts w:ascii="Arial" w:cs="Arial" w:eastAsia="Arial" w:hAnsi="Arial"/>
          <w:sz w:val="22"/>
          <w:szCs w:val="22"/>
        </w:rPr>
        <w:t xml:space="preserve">Тактические шаги денежно-кредитной политики будут выстраиваться с учетом ситуации с ликвидностью в банковской системе, перспектив развития внутреннего денежного и валютного рынков, а также в зависимости от динамики основных макроэкономических показателей.</w:t>
      </w:r>
    </w:p>
    <w:p>
      <w:pPr>
        <w:spacing w:after="60"/>
        <w:ind w:firstLine="567"/>
        <w:jc w:val="both"/>
      </w:pPr>
      <w:r>
        <w:rPr>
          <w:rFonts w:ascii="Arial" w:cs="Arial" w:eastAsia="Arial" w:hAnsi="Arial"/>
          <w:sz w:val="22"/>
          <w:szCs w:val="22"/>
        </w:rPr>
        <w:t xml:space="preserve">Краткосрочные процентные ставки денежного рынка остаются операционным ориентиром денежно-кредитной политики. Продолжится работа по способствованию дальнейшей активизации и развитию межбанковского денежного рынка. В этой связи меры монетарной политики будут направлены на рыночное формирование ставок денежного рынка, динамика которых будет иметь общее направление с учетной ставкой. При этом эффективная кривая доходности будет выступать ориентиром для формирования конечных ставок по депозитам и кредитам в экономике.</w:t>
      </w:r>
    </w:p>
    <w:p>
      <w:pPr>
        <w:spacing w:after="60"/>
        <w:ind w:firstLine="567"/>
        <w:jc w:val="both"/>
      </w:pPr>
      <w:r>
        <w:rPr>
          <w:rFonts w:ascii="Arial" w:cs="Arial" w:eastAsia="Arial" w:hAnsi="Arial"/>
          <w:sz w:val="22"/>
          <w:szCs w:val="22"/>
        </w:rPr>
        <w:t xml:space="preserve">В условиях сохранения избыточной ликвидности в банковской системе продолжится работа по проведению стерилизационных операций.</w:t>
      </w:r>
    </w:p>
    <w:p>
      <w:pPr>
        <w:spacing w:after="60"/>
        <w:ind w:firstLine="567"/>
        <w:jc w:val="both"/>
      </w:pPr>
      <w:r>
        <w:rPr>
          <w:rFonts w:ascii="Arial" w:cs="Arial" w:eastAsia="Arial" w:hAnsi="Arial"/>
          <w:sz w:val="22"/>
          <w:szCs w:val="22"/>
        </w:rPr>
        <w:t xml:space="preserve">В случае необходимости будет рассматриваться возможность обеспечения денежного предложения в экономику посредством операций рефинансирования банков, с тем, чтобы сохранить равновесный уровень объема денег в экономике для содействия экономическому росту в долгосрочной перспективе.</w:t>
      </w:r>
    </w:p>
    <w:p>
      <w:pPr>
        <w:spacing w:after="60"/>
        <w:ind w:firstLine="567"/>
        <w:jc w:val="both"/>
      </w:pPr>
      <w:r>
        <w:rPr>
          <w:rFonts w:ascii="Arial" w:cs="Arial" w:eastAsia="Arial" w:hAnsi="Arial"/>
          <w:sz w:val="22"/>
          <w:szCs w:val="22"/>
        </w:rPr>
        <w:t xml:space="preserve">Совершенствование процесса прогнозирования ликвидности банковской системы и ее эффективное управление остаются одной из приоритетных задач. В этом направлении особое внимание будет уделено согласованию и координации мер денежно-кредитной и бюджетно-налоговой политик посредством постоянного обмена информацией и согласования вопросов в рамках действующего Межведомственного координационного совета Министерства финансов Кыргызской Республики и Национального банка.</w:t>
      </w:r>
    </w:p>
    <w:p>
      <w:pPr>
        <w:spacing w:after="60"/>
        <w:ind w:firstLine="567"/>
        <w:jc w:val="both"/>
      </w:pPr>
      <w:r>
        <w:rPr>
          <w:rFonts w:ascii="Arial" w:cs="Arial" w:eastAsia="Arial" w:hAnsi="Arial"/>
          <w:sz w:val="22"/>
          <w:szCs w:val="22"/>
        </w:rPr>
        <w:t xml:space="preserve">Дальнейшее увеличение доли безналичных платежей и расчетов, совершенствование банковской и платежной систем и развитие цифровых финансовых технологий на рынке банковских услуг будут способствовать эффективному проведению денежно-кредитной политики.</w:t>
      </w:r>
    </w:p>
    <w:p>
      <w:pPr>
        <w:spacing w:after="60"/>
        <w:ind w:firstLine="567"/>
        <w:jc w:val="both"/>
      </w:pPr>
      <w:r>
        <w:rPr>
          <w:rFonts w:ascii="Arial" w:cs="Arial" w:eastAsia="Arial" w:hAnsi="Arial"/>
          <w:sz w:val="22"/>
          <w:szCs w:val="22"/>
        </w:rPr>
        <w:t xml:space="preserve">Национальный банк совместно с банковским сектором и сектором микрофинансирования продолжит работу по реализации основных направлений развития банковского и микрофинансового секторов и платежных систем. Будет уделяться особое внимание поддержанию развития финансовых технологий и цифровизации банковских услуг для расширения доступности банковских услуг более широкому кругу потребителей и использования технологий, способствующих развитию инновационного рынка финансовых услуг и обеспечению безопасности финансовой системы.</w:t>
      </w:r>
    </w:p>
    <w:p>
      <w:pPr>
        <w:spacing w:after="60"/>
        <w:ind w:firstLine="567"/>
        <w:jc w:val="both"/>
      </w:pPr>
      <w:r>
        <w:rPr>
          <w:rFonts w:ascii="Arial" w:cs="Arial" w:eastAsia="Arial" w:hAnsi="Arial"/>
          <w:sz w:val="22"/>
          <w:szCs w:val="22"/>
        </w:rPr>
        <w:t xml:space="preserve">Для расширения доступа к сберегательным и кредитным продуктам, предоставляемым регулируемыми финансовыми организациями, и повышения уровня финансовой грамотности населения Национальным банком совместно с государственными органами и Международной финансовой корпорацией будет разработан проект Национальной стратегии по финансовой доступности.</w:t>
      </w:r>
    </w:p>
    <w:p>
      <w:pPr>
        <w:spacing w:after="60"/>
        <w:ind w:firstLine="567"/>
        <w:jc w:val="both"/>
      </w:pPr>
      <w:r>
        <w:rPr>
          <w:rFonts w:ascii="Arial" w:cs="Arial" w:eastAsia="Arial" w:hAnsi="Arial"/>
          <w:sz w:val="22"/>
          <w:szCs w:val="22"/>
        </w:rPr>
        <w:t xml:space="preserve">В рамках риск-ориентированного надзора будет продолжена работа по совершенствованию систем управления рисками в банках для обеспечения стабильности и развития банковской системы.</w:t>
      </w:r>
    </w:p>
    <w:p>
      <w:pPr>
        <w:spacing w:after="60"/>
        <w:ind w:firstLine="567"/>
        <w:jc w:val="both"/>
      </w:pPr>
      <w:r>
        <w:rPr>
          <w:rFonts w:ascii="Arial" w:cs="Arial" w:eastAsia="Arial" w:hAnsi="Arial"/>
          <w:sz w:val="22"/>
          <w:szCs w:val="22"/>
        </w:rPr>
        <w:t xml:space="preserve">Дальнейшее совершенствование регулятивных требований к финансово-кредитным организациям будет проводиться в рамках гармонизации законодательства государств - членов ЕАЭС, с учетом рекомендаций и требований международных стандартов и повышения информационной безопасности банковской и платежной систем.</w:t>
      </w:r>
    </w:p>
    <w:p>
      <w:pPr>
        <w:spacing w:after="60"/>
        <w:ind w:firstLine="567"/>
        <w:jc w:val="both"/>
      </w:pPr>
      <w:r>
        <w:rPr>
          <w:rFonts w:ascii="Arial" w:cs="Arial" w:eastAsia="Arial" w:hAnsi="Arial"/>
          <w:sz w:val="22"/>
          <w:szCs w:val="22"/>
        </w:rPr>
        <w:t xml:space="preserve">В целях повышения доверия общественности к проводимой денежно-кредитной политике Национального банка продолжится работа по политике информационной открытости. Посредством повышения уровня транспарентности Национального банка и совершенствования инструментов коммуникационной политики Национальный банк будет способствовать формированию у общественности и субъектов экономики адекватных инфляционных ожиданий и ожиданий относительно решений в области денежно-кредитной политики в среднесрочной перспективе.</w:t>
      </w:r>
    </w:p>
    <w:p>
      <w:pPr>
        <w:spacing w:after="60" w:before="200"/>
        <w:ind w:firstLine="567"/>
        <w:jc w:val="both"/>
      </w:pPr>
      <w:r>
        <w:rPr>
          <w:rFonts w:ascii="Arial" w:cs="Arial" w:eastAsia="Arial" w:hAnsi="Arial"/>
          <w:b/>
          <w:bCs/>
          <w:sz w:val="22"/>
          <w:szCs w:val="22"/>
        </w:rPr>
        <w:t xml:space="preserve">6.3. Налоговая политика</w:t>
      </w:r>
    </w:p>
    <w:p>
      <w:pPr>
        <w:spacing w:after="60"/>
        <w:ind w:firstLine="567"/>
        <w:jc w:val="both"/>
      </w:pPr>
      <w:r>
        <w:rPr>
          <w:rFonts w:ascii="Arial" w:cs="Arial" w:eastAsia="Arial" w:hAnsi="Arial"/>
          <w:sz w:val="22"/>
          <w:szCs w:val="22"/>
        </w:rPr>
        <w:t xml:space="preserve">В 2021 году будет сохранена стимулирующая роль фискальной политики, которая будет направлена на диверсификацию, модернизацию производства и его технологическое обновление, а также повышение конкурентоспособности отечественной экономики. Главными задачами налоговой политики станет совершенствование налогового законодательства.</w:t>
      </w:r>
    </w:p>
    <w:p>
      <w:pPr>
        <w:spacing w:after="60"/>
        <w:ind w:firstLine="567"/>
        <w:jc w:val="both"/>
      </w:pPr>
      <w:r>
        <w:rPr>
          <w:rFonts w:ascii="Arial" w:cs="Arial" w:eastAsia="Arial" w:hAnsi="Arial"/>
          <w:sz w:val="22"/>
          <w:szCs w:val="22"/>
        </w:rPr>
        <w:t xml:space="preserve">Совершенствование будет проходить в сфере сбора страховых платежей, посредством введения на территории республики новых информационных технологий, которые будут направлены на защиту ответственных и добросовестных налогоплательщиков и граждан Кыргызской Республики.</w:t>
      </w:r>
    </w:p>
    <w:p>
      <w:pPr>
        <w:spacing w:after="60"/>
        <w:ind w:firstLine="567"/>
        <w:jc w:val="both"/>
      </w:pPr>
      <w:r>
        <w:rPr>
          <w:rFonts w:ascii="Arial" w:cs="Arial" w:eastAsia="Arial" w:hAnsi="Arial"/>
          <w:sz w:val="22"/>
          <w:szCs w:val="22"/>
        </w:rPr>
        <w:t xml:space="preserve">Планируются создание национального компонента для системы прослеживаемости и оборота товаров, а также работа по повышению рейтинга Кыргызской Республики на мировой арене по показателю "Налогообложение". Предполагается стимулирование легализации неформального сектора экономики Кыргызской Республики, защита отечественных производителей и импортеров, которые имеют безупречную репутацию, а также создание системы налоговой проверки и учета товарной продукции и ее соответствие заявленным характеристикам в фискальных целях.</w:t>
      </w:r>
    </w:p>
    <w:p>
      <w:pPr>
        <w:spacing w:after="60"/>
        <w:ind w:firstLine="567"/>
        <w:jc w:val="both"/>
      </w:pPr>
      <w:r>
        <w:rPr>
          <w:rFonts w:ascii="Arial" w:cs="Arial" w:eastAsia="Arial" w:hAnsi="Arial"/>
          <w:sz w:val="22"/>
          <w:szCs w:val="22"/>
        </w:rPr>
        <w:t xml:space="preserve">В целях увеличения доходов бюджета и уменьшения доли теневой экономики будет проводиться активная работа по внедрению электронной системы фискализации налоговых процедур, повышению ставки налога на доход горнодобывающих и горноперерабатывающих предприятий в случае реализации золотосодержащих руд и концентратов, налогообложению майнинга криптовалют, расширению перечня нефтепродуктов, подлежащих обложению акцизным налогом, а также актуализации стоимостного значения основных средств, добровольному декларированию имущества и доходов физическими лицами, реструктуризации задолженности по начисленным процентам, пени, налоговым санкциям, штрафам по страховым взносам.</w:t>
      </w:r>
    </w:p>
    <w:p>
      <w:pPr>
        <w:spacing w:after="60" w:before="200"/>
        <w:ind w:firstLine="567"/>
        <w:jc w:val="both"/>
      </w:pPr>
      <w:r>
        <w:rPr>
          <w:rFonts w:ascii="Arial" w:cs="Arial" w:eastAsia="Arial" w:hAnsi="Arial"/>
          <w:b/>
          <w:bCs/>
          <w:sz w:val="22"/>
          <w:szCs w:val="22"/>
        </w:rPr>
        <w:t xml:space="preserve">6.4. Бюджетная политика</w:t>
      </w:r>
    </w:p>
    <w:p>
      <w:pPr>
        <w:spacing w:after="60"/>
        <w:ind w:firstLine="567"/>
        <w:jc w:val="both"/>
      </w:pPr>
      <w:r>
        <w:rPr>
          <w:rFonts w:ascii="Arial" w:cs="Arial" w:eastAsia="Arial" w:hAnsi="Arial"/>
          <w:sz w:val="22"/>
          <w:szCs w:val="22"/>
        </w:rPr>
        <w:t xml:space="preserve">Бюджетная политика будет реализовываться в соответствии со Стратегией развития управления </w:t>
      </w:r>
      <w:r>
        <w:rPr>
          <w:rFonts w:ascii="Arial" w:cs="Arial" w:eastAsia="Arial" w:hAnsi="Arial"/>
          <w:sz w:val="22"/>
          <w:szCs w:val="22"/>
        </w:rPr>
        <w:t xml:space="preserve">государственными финансами на 2017-2025 годы (постановление Правительства Кыргызской Республики от 22 декабря 2016 года № 696), Основными направлениями фискальной политики Кыргызской Республики на 2020-2022 годы (постановление Правительства </w:t>
      </w:r>
      <w:r>
        <w:rPr>
          <w:rFonts w:ascii="Arial" w:cs="Arial" w:eastAsia="Arial" w:hAnsi="Arial"/>
          <w:sz w:val="22"/>
          <w:szCs w:val="22"/>
        </w:rPr>
        <w:t xml:space="preserve">Кыргызской Республики от 12 сентября 2019 года № 469) и будет направлена на дальнейшую консолидацию, достижение бюджетной устойчивости.</w:t>
      </w:r>
    </w:p>
    <w:p>
      <w:pPr>
        <w:spacing w:after="60"/>
        <w:ind w:firstLine="567"/>
        <w:jc w:val="both"/>
      </w:pPr>
      <w:r>
        <w:rPr>
          <w:rFonts w:ascii="Arial" w:cs="Arial" w:eastAsia="Arial" w:hAnsi="Arial"/>
          <w:sz w:val="22"/>
          <w:szCs w:val="22"/>
        </w:rPr>
        <w:t xml:space="preserve">Реализация бюджетной политики будет достигаться через решение следующих задач:</w:t>
      </w:r>
    </w:p>
    <w:p>
      <w:pPr>
        <w:spacing w:after="60"/>
        <w:ind w:firstLine="567"/>
        <w:jc w:val="both"/>
      </w:pPr>
      <w:r>
        <w:rPr>
          <w:rFonts w:ascii="Arial" w:cs="Arial" w:eastAsia="Arial" w:hAnsi="Arial"/>
          <w:sz w:val="22"/>
          <w:szCs w:val="22"/>
        </w:rPr>
        <w:t xml:space="preserve">- улучшение планирования и исполнение государственного бюджета, включая повышение прозрачности, полноты и достоверности бюджета; улучшение контроля доходов и расходов бюджета;</w:t>
      </w:r>
    </w:p>
    <w:p>
      <w:pPr>
        <w:spacing w:after="60"/>
        <w:ind w:firstLine="567"/>
        <w:jc w:val="both"/>
      </w:pPr>
      <w:r>
        <w:rPr>
          <w:rFonts w:ascii="Arial" w:cs="Arial" w:eastAsia="Arial" w:hAnsi="Arial"/>
          <w:sz w:val="22"/>
          <w:szCs w:val="22"/>
        </w:rPr>
        <w:t xml:space="preserve">- своевременный учет и финансовая отчетность;</w:t>
      </w:r>
    </w:p>
    <w:p>
      <w:pPr>
        <w:spacing w:after="60"/>
        <w:ind w:firstLine="567"/>
        <w:jc w:val="both"/>
      </w:pPr>
      <w:r>
        <w:rPr>
          <w:rFonts w:ascii="Arial" w:cs="Arial" w:eastAsia="Arial" w:hAnsi="Arial"/>
          <w:sz w:val="22"/>
          <w:szCs w:val="22"/>
        </w:rPr>
        <w:t xml:space="preserve">- совершенствование процедур внутреннего и внешнего аудита;</w:t>
      </w:r>
    </w:p>
    <w:p>
      <w:pPr>
        <w:spacing w:after="60"/>
        <w:ind w:firstLine="567"/>
        <w:jc w:val="both"/>
      </w:pPr>
      <w:r>
        <w:rPr>
          <w:rFonts w:ascii="Arial" w:cs="Arial" w:eastAsia="Arial" w:hAnsi="Arial"/>
          <w:sz w:val="22"/>
          <w:szCs w:val="22"/>
        </w:rPr>
        <w:t xml:space="preserve">- активные переговоры с донорским сообществом, в том числе со Всемирным банком, Азиатским банком развития, Международным валютным фондом и другими международными финансовыми институтами по предоставлению ресурсов на поддержание республиканского бюджета и меры по экономии бюджетных средств в свете ситуации, связанной с последствием коронавирусной инфекции в соседних странах и мире.</w:t>
      </w:r>
    </w:p>
    <w:p>
      <w:pPr>
        <w:spacing w:after="60"/>
        <w:ind w:firstLine="567"/>
        <w:jc w:val="both"/>
      </w:pPr>
      <w:r>
        <w:rPr>
          <w:rFonts w:ascii="Arial" w:cs="Arial" w:eastAsia="Arial" w:hAnsi="Arial"/>
          <w:sz w:val="22"/>
          <w:szCs w:val="22"/>
        </w:rPr>
        <w:t xml:space="preserve">Бюджет обслуживания государственного внешнего долга Кыргызской Республики будет сформирован на основе обеспечения строгой дисциплины при привлечении и расходовании иностранных займов, соизмеримой со следующими целевыми ориентирами:</w:t>
      </w:r>
    </w:p>
    <w:p>
      <w:pPr>
        <w:spacing w:after="60"/>
        <w:ind w:firstLine="567"/>
        <w:jc w:val="both"/>
      </w:pPr>
      <w:r>
        <w:rPr>
          <w:rFonts w:ascii="Arial" w:cs="Arial" w:eastAsia="Arial" w:hAnsi="Arial"/>
          <w:sz w:val="22"/>
          <w:szCs w:val="22"/>
        </w:rPr>
        <w:t xml:space="preserve">- недопущение просрочек по платежам по погашению государственного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w:t>
      </w:r>
    </w:p>
    <w:p>
      <w:pPr>
        <w:spacing w:after="60"/>
        <w:ind w:firstLine="567"/>
        <w:jc w:val="both"/>
      </w:pPr>
      <w:r>
        <w:rPr>
          <w:rFonts w:ascii="Arial" w:cs="Arial" w:eastAsia="Arial" w:hAnsi="Arial"/>
          <w:sz w:val="22"/>
          <w:szCs w:val="22"/>
        </w:rPr>
        <w:t xml:space="preserve">- сохранение 35% минимального уровня льготности для новых внешних заимствований и запрет местным органам государственного управления на привлечение внешних займов без соответствующего разрешения Министерства финансов Кыргызской Республики;</w:t>
      </w:r>
    </w:p>
    <w:p>
      <w:pPr>
        <w:spacing w:after="60"/>
        <w:ind w:firstLine="567"/>
        <w:jc w:val="both"/>
      </w:pPr>
      <w:r>
        <w:rPr>
          <w:rFonts w:ascii="Arial" w:cs="Arial" w:eastAsia="Arial" w:hAnsi="Arial"/>
          <w:sz w:val="22"/>
          <w:szCs w:val="22"/>
        </w:rPr>
        <w:t xml:space="preserve">- следование количественным и качественным требованиям программы государственных инвестиций в процессе осуществления новых внешних заимствований.</w:t>
      </w:r>
    </w:p>
    <w:p>
      <w:pPr>
        <w:spacing w:after="60"/>
        <w:ind w:firstLine="567"/>
        <w:jc w:val="both"/>
      </w:pPr>
      <w:r>
        <w:rPr>
          <w:rFonts w:ascii="Arial" w:cs="Arial" w:eastAsia="Arial" w:hAnsi="Arial"/>
          <w:sz w:val="22"/>
          <w:szCs w:val="22"/>
        </w:rPr>
        <w:t xml:space="preserve">В целом проводимая в среднесрочном периоде политика, как и прежде будет направлена на обеспечение бюджетной устойчивости и ориентирована на реализацию следующих направлений: увеличение ресурсного потенциала бюджета; сокращение отрицательного баланса бюджета; повышение эффективности и результативности государственных расходов;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2"/>
          <w:szCs w:val="22"/>
        </w:rPr>
        <w:t xml:space="preserve">В среднесрочной перспективе принимаемые меры по созданию благоприятных условий для предпринимательства (специальные механизмы кредитования для предоставления льготных кредитов субъектам предпринимательства на возобновление деятельности) и запуску новых производственных мощностей в отраслях экономики, упрощению лицензионно-разрешительной системы (принцип "Единого окна"), открытию Центров обслуживания предпринимателей в регионах страны, снижению уровня теневой экономики страны, разработке механизмов для доступа к финансовым ресурсам на долгосрочный период, расширению возможностей гарантийного фонда, внедрению электронной системы фискализации налоговых процедур, принятию законов Кыргызской Республики, направленных на увеличение доходной части бюджета и др., позволят увеличить поступления в доходную часть государственного бюджета. Исходя из этого, показатель доли налоговых доходов к ВВП на 2021 год прогнозируется на уровне 22,6%.</w:t>
      </w:r>
    </w:p>
    <w:p>
      <w:pPr>
        <w:spacing w:after="60" w:before="200"/>
        <w:ind w:firstLine="567"/>
        <w:jc w:val="both"/>
      </w:pPr>
      <w:r>
        <w:rPr>
          <w:rFonts w:ascii="Arial" w:cs="Arial" w:eastAsia="Arial" w:hAnsi="Arial"/>
          <w:b/>
          <w:bCs/>
          <w:sz w:val="22"/>
          <w:szCs w:val="22"/>
        </w:rPr>
        <w:t xml:space="preserve">6.5. Бюджет развития</w:t>
      </w:r>
    </w:p>
    <w:p>
      <w:pPr>
        <w:spacing w:after="60"/>
        <w:ind w:firstLine="567"/>
        <w:jc w:val="both"/>
      </w:pPr>
      <w:r>
        <w:rPr>
          <w:rFonts w:ascii="Arial" w:cs="Arial" w:eastAsia="Arial" w:hAnsi="Arial"/>
          <w:sz w:val="22"/>
          <w:szCs w:val="22"/>
        </w:rPr>
        <w:t xml:space="preserve">В 2021 году из республиканского бюджета по статье "Капитальные вложения" предусмотрены средства в сумме 2,4 млрд. сомов, которые в первую очередь будут направлены на финансирование завершения строительства ранее начатых объектов образования, здравоохранения, культуры и спорта, будет продолжаться финансирование строительства социальной и инженерной инфраструктуры городов Бишкек и Ош, в рамках развития регионов также планируется в приоритетном порядке финансирование строительства автомобильных дорог стратегического значения и автодорог, находящихся в приграничных районах республики, в соответствии с государственной программой развития ирригации будет продолжено финансирование завершения строительства ирригационных каналов, которые позволят осваивать значительные площади новых орошаемых земель в Баткенской, Джалал-Абадской, Нарынской, Ошской и Таласской областях Кыргызской Республики.</w:t>
      </w:r>
    </w:p>
    <w:p>
      <w:pPr>
        <w:spacing w:after="60"/>
        <w:ind w:firstLine="567"/>
        <w:jc w:val="both"/>
      </w:pPr>
      <w:r>
        <w:rPr>
          <w:rFonts w:ascii="Arial" w:cs="Arial" w:eastAsia="Arial" w:hAnsi="Arial"/>
          <w:sz w:val="22"/>
          <w:szCs w:val="22"/>
        </w:rPr>
        <w:t xml:space="preserve">В 2021 году важнейшими направлениями проектов государственных инвестиций останутся развитие транспортной системы, энергетической инфраструктуры, водоснабжения и другие.</w:t>
      </w:r>
    </w:p>
    <w:p>
      <w:pPr>
        <w:spacing w:after="60"/>
        <w:ind w:firstLine="567"/>
        <w:jc w:val="both"/>
      </w:pPr>
      <w:r>
        <w:rPr>
          <w:rFonts w:ascii="Arial" w:cs="Arial" w:eastAsia="Arial" w:hAnsi="Arial"/>
          <w:sz w:val="22"/>
          <w:szCs w:val="22"/>
        </w:rPr>
        <w:t xml:space="preserve">Объем утвержденного бюджета государственных инвестиций на 2021 год составляет 31423,3 млн. сомов, из которых гранты - 7333,9 млн. сомов (23,3%), кредиты - 22249,0 млн. сомов (70,8%) и софинансирование Правительством Кыргызской Республики - 1840,4 млн. сомов (5,9%).</w:t>
      </w:r>
    </w:p>
    <w:p>
      <w:pPr>
        <w:spacing w:after="60"/>
        <w:ind w:firstLine="567"/>
        <w:jc w:val="both"/>
      </w:pPr>
      <w:r>
        <w:rPr>
          <w:rFonts w:ascii="Arial" w:cs="Arial" w:eastAsia="Arial" w:hAnsi="Arial"/>
          <w:sz w:val="22"/>
          <w:szCs w:val="22"/>
        </w:rPr>
        <w:t xml:space="preserve">Принимая во внимание информацию, озвученную Всемирной организацией здравоохранения о пандемии COVID-19, и его стремительное распространение по всем континентам, а также жесткие ограничительные меры, которые принимаются государствами, есть все основания полагать, что в дальнейшем может возникнуть ситуация невыполнения договорных обязательств в рамках заключенных контрактов, что повлияет на исполнение бюджета государственных инвестиций на 2021 год. Более того, данный факт может повлиять на увеличение стоимости проекта и привести к срыву реализации некоторых мероприятий в рамках проектов государственных инвестиций.</w:t>
      </w:r>
    </w:p>
    <w:p>
      <w:pPr>
        <w:spacing w:after="60"/>
        <w:ind w:firstLine="567"/>
        <w:jc w:val="both"/>
      </w:pPr>
      <w:r>
        <w:rPr>
          <w:rFonts w:ascii="Arial" w:cs="Arial" w:eastAsia="Arial" w:hAnsi="Arial"/>
          <w:sz w:val="22"/>
          <w:szCs w:val="22"/>
        </w:rPr>
        <w:t xml:space="preserve">Кроме того, на фоне резкого падения доходной части республиканского бюджета, Кыргызская Республика вынуждена производить большие расходы, связанные со вспышкой коронавирусной инфекции, в том числе связанные с мероприятиями по контролю приграничных зон, содержанию карантинных зон, перевозок и т.д. Также, в первоочередном порядке будет осуществляться финансирование по защищенным статьям (заработная плата, пособие и т.д.). В связи с чем софинансирование Правительства Кыргызской Республики в рамках проектов государственных инвестиций будет крайне тяжелым, что может повлиять на ход реализации проектов.</w:t>
      </w:r>
    </w:p>
    <w:p>
      <w:pPr>
        <w:spacing w:after="60"/>
        <w:ind w:firstLine="567"/>
        <w:jc w:val="both"/>
      </w:pPr>
      <w:r>
        <w:rPr>
          <w:rFonts w:ascii="Arial" w:cs="Arial" w:eastAsia="Arial" w:hAnsi="Arial"/>
          <w:sz w:val="22"/>
          <w:szCs w:val="22"/>
        </w:rPr>
        <w:t xml:space="preserve">При этом, в целях недопущения срыва реализации проектов ведутся переговоры с донорами по обсуждению влияния COVID-19 на реализацию проектов государственных инвестиций и путей решения. По всем проектам государственных инвестиций разрабатываются графики строительных работ/консультантов, на которые будет оказано влияние пандемии COVID-19.</w:t>
      </w:r>
    </w:p>
    <w:p>
      <w:pPr>
        <w:spacing w:after="60" w:before="200"/>
        <w:ind w:firstLine="567"/>
        <w:jc w:val="both"/>
      </w:pPr>
      <w:r>
        <w:rPr>
          <w:rFonts w:ascii="Arial" w:cs="Arial" w:eastAsia="Arial" w:hAnsi="Arial"/>
          <w:b/>
          <w:bCs/>
          <w:sz w:val="22"/>
          <w:szCs w:val="22"/>
        </w:rPr>
        <w:t xml:space="preserve">6.6. Инвестиционная политика</w:t>
      </w:r>
    </w:p>
    <w:p>
      <w:pPr>
        <w:spacing w:after="60"/>
        <w:ind w:firstLine="567"/>
        <w:jc w:val="both"/>
      </w:pPr>
      <w:r>
        <w:rPr>
          <w:rFonts w:ascii="Arial" w:cs="Arial" w:eastAsia="Arial" w:hAnsi="Arial"/>
          <w:sz w:val="22"/>
          <w:szCs w:val="22"/>
        </w:rPr>
        <w:t xml:space="preserve">Основной целью проведения инвестиционной политики в 2021 году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60"/>
        <w:ind w:firstLine="567"/>
        <w:jc w:val="both"/>
      </w:pPr>
      <w:r>
        <w:rPr>
          <w:rFonts w:ascii="Arial" w:cs="Arial" w:eastAsia="Arial" w:hAnsi="Arial"/>
          <w:sz w:val="22"/>
          <w:szCs w:val="22"/>
        </w:rPr>
        <w:t xml:space="preserve">В части повышения инвестиционной привлекательности и создания благоприятной деловой среды основное внимание будет уделено повышению инвестиционного потенциала и привлекательности регионов страны, с учетом имеющихся преимуществ и особенностей каждой области; инвестированию в приоритетные и стратегически значимые отрасли региональной экономики; улучшению институциональной среды для ведения бизнеса; привлечению местных инвестиций для реализации проектов; совершенствованию законодательства по государственно-частному партнерству и инвестициям путем упрощения требований и создания благоприятных условий для привлечения </w:t>
      </w:r>
      <w:r>
        <w:rPr>
          <w:rFonts w:ascii="Arial" w:cs="Arial" w:eastAsia="Arial" w:hAnsi="Arial"/>
          <w:sz w:val="22"/>
          <w:szCs w:val="22"/>
        </w:rPr>
        <w:t xml:space="preserve">инвестиций; реализации Программы развития государственно-частного партнерства в Кыргызской Республике на 2016-2021 годы (постановление Правительства Кыргызской Республики от 16 июня 2016 года № 327); устранению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2"/>
          <w:szCs w:val="22"/>
        </w:rPr>
        <w:t xml:space="preserve">Инвестиции будут привлекаться за счет проектов государственно-частного партнерства, внутренних прямых инвестиций, прямых иностранных инвестиций, а также средств партнеров по развитию.</w:t>
      </w:r>
    </w:p>
    <w:p>
      <w:pPr>
        <w:spacing w:after="60"/>
        <w:ind w:firstLine="567"/>
        <w:jc w:val="both"/>
      </w:pPr>
      <w:r>
        <w:rPr>
          <w:rFonts w:ascii="Arial" w:cs="Arial" w:eastAsia="Arial" w:hAnsi="Arial"/>
          <w:sz w:val="22"/>
          <w:szCs w:val="22"/>
        </w:rPr>
        <w:t xml:space="preserve">Будут использованы огромные возможности привлечения прямых иностранных инвестиций в различные секторы экономики. Преимущества местоположения включают в себя низкие трудовые затраты и затраты на электроэнергию, обильные гидроэнергетические ресурсы, хорошие погодные условия для сельского хозяйства, привлекательные пейзажи для туризма, и в целом конкурентоспособные налоговые и торговые преференции.</w:t>
      </w:r>
    </w:p>
    <w:p>
      <w:pPr>
        <w:spacing w:after="60"/>
        <w:ind w:firstLine="567"/>
        <w:jc w:val="both"/>
      </w:pPr>
      <w:r>
        <w:rPr>
          <w:rFonts w:ascii="Arial" w:cs="Arial" w:eastAsia="Arial" w:hAnsi="Arial"/>
          <w:sz w:val="22"/>
          <w:szCs w:val="22"/>
        </w:rPr>
        <w:t xml:space="preserve">Для улучшения инвестиционного климата в республике в системе Министерства иностранных дел Кыргызской Республики создано новое подразделение - Департамент экономической дипломатии, который занимается вопросами оказания содействия в привлечении инвестиций, продвижении отечественной продукции на зарубежные рынки, в продвижении туристического потенциала. Работа департамента направлена на продвижение интересов Кыргызской Республики в финансовых организациях и отслеживание реализации грантовых соглашений.</w:t>
      </w:r>
    </w:p>
    <w:p>
      <w:pPr>
        <w:spacing w:after="60"/>
        <w:ind w:firstLine="567"/>
        <w:jc w:val="both"/>
      </w:pPr>
      <w:r>
        <w:rPr>
          <w:rFonts w:ascii="Arial" w:cs="Arial" w:eastAsia="Arial" w:hAnsi="Arial"/>
          <w:sz w:val="22"/>
          <w:szCs w:val="22"/>
        </w:rPr>
        <w:t xml:space="preserve">Правительство Кыргызской Республики в лице уполномоченного государственного органа, в соответствии с Законом Кыргызской Республики "Об инвестициях в Кыргызской Республике" предоставит право применения режима стабилизации инвестору и/или инвестируемому предприятию в отношении следующих платежей:</w:t>
      </w:r>
    </w:p>
    <w:p>
      <w:pPr>
        <w:spacing w:after="60"/>
        <w:ind w:firstLine="567"/>
        <w:jc w:val="both"/>
      </w:pPr>
      <w:r>
        <w:rPr>
          <w:rFonts w:ascii="Arial" w:cs="Arial" w:eastAsia="Arial" w:hAnsi="Arial"/>
          <w:sz w:val="22"/>
          <w:szCs w:val="22"/>
        </w:rPr>
        <w:t xml:space="preserve">- налоги, включая налог на добавленную стоимость, но исключая другие косвенные налоги (по заключенному Соглашению о режиме стабилизации между Правительством Кыргызской Республики и инвестором, согласно принятому постановлению Правительства Кыргызской Республики "Об утверждении Положения о порядке и условиях применения режима стабилизации" от 29 сентября 2017 года № 628);</w:t>
      </w:r>
    </w:p>
    <w:p>
      <w:pPr>
        <w:spacing w:after="60"/>
        <w:ind w:firstLine="567"/>
        <w:jc w:val="both"/>
      </w:pPr>
      <w:r>
        <w:rPr>
          <w:rFonts w:ascii="Arial" w:cs="Arial" w:eastAsia="Arial" w:hAnsi="Arial"/>
          <w:sz w:val="22"/>
          <w:szCs w:val="22"/>
        </w:rPr>
        <w:t xml:space="preserve">- неналоговые платежи, за исключением платежей за оказываемые государственными органами услуги (по заключенному Соглашению о режиме стабилизации между Правительством Кыргызской Республики и инвестором, согласно принятому постановлению Правительства Кыргызской Республики "Об утверждении Положения </w:t>
      </w:r>
      <w:r>
        <w:rPr>
          <w:rFonts w:ascii="Arial" w:cs="Arial" w:eastAsia="Arial" w:hAnsi="Arial"/>
          <w:sz w:val="22"/>
          <w:szCs w:val="22"/>
        </w:rPr>
        <w:t xml:space="preserve">о порядке и условиях применения режима стабилизации" от 29 сентября 2017 года № 628).</w:t>
      </w:r>
    </w:p>
    <w:p>
      <w:pPr>
        <w:spacing w:after="60"/>
        <w:ind w:firstLine="567"/>
        <w:jc w:val="both"/>
      </w:pPr>
      <w:r>
        <w:rPr>
          <w:rFonts w:ascii="Arial" w:cs="Arial" w:eastAsia="Arial" w:hAnsi="Arial"/>
          <w:sz w:val="22"/>
          <w:szCs w:val="22"/>
        </w:rPr>
        <w:t xml:space="preserve">В 2020/2021 году планируется утверждение 5-летней Стратегии привлечения инвестиций в Кыргызскую Республику, где будут детально изложены целевые реформы для улучшения инвестиционного климата в Кыргызской Республике.</w:t>
      </w:r>
    </w:p>
    <w:p>
      <w:pPr>
        <w:spacing w:after="60"/>
        <w:ind w:firstLine="567"/>
        <w:jc w:val="both"/>
      </w:pPr>
      <w:r>
        <w:rPr>
          <w:rFonts w:ascii="Arial" w:cs="Arial" w:eastAsia="Arial" w:hAnsi="Arial"/>
          <w:sz w:val="22"/>
          <w:szCs w:val="22"/>
        </w:rPr>
        <w:t xml:space="preserve">Будет предоставлен иностранным инвесторам, осуществляющим инвестиции на территории Кыргызской Республики, национальный режим экономической деятельности, применяемый в отношении юридических и физических лиц Кыргызской Республики.</w:t>
      </w:r>
    </w:p>
    <w:p>
      <w:pPr>
        <w:spacing w:after="60"/>
        <w:ind w:firstLine="567"/>
        <w:jc w:val="both"/>
      </w:pPr>
      <w:r>
        <w:rPr>
          <w:rFonts w:ascii="Arial" w:cs="Arial" w:eastAsia="Arial" w:hAnsi="Arial"/>
          <w:sz w:val="22"/>
          <w:szCs w:val="22"/>
        </w:rPr>
        <w:t xml:space="preserve">В рамках улучшения позиций Кыргызской Республики в рейтинге "Ведение бизнеса" будет продолжена работа по улучшению позиций Кыргызской Республики в рейтинге "Ведение бизнеса" на 2020-2021 годы.</w:t>
      </w:r>
    </w:p>
    <w:p>
      <w:pPr>
        <w:spacing w:after="60"/>
        <w:ind w:firstLine="567"/>
        <w:jc w:val="both"/>
      </w:pPr>
      <w:r>
        <w:rPr>
          <w:rFonts w:ascii="Arial" w:cs="Arial" w:eastAsia="Arial" w:hAnsi="Arial"/>
          <w:sz w:val="22"/>
          <w:szCs w:val="22"/>
        </w:rPr>
        <w:t xml:space="preserve">Будет инициирован законопроект по внесению изменений в ряд нормативных правовых актов Кыргызской Республики в целях поддержки инвестиций, предусматривающий:</w:t>
      </w:r>
    </w:p>
    <w:p>
      <w:pPr>
        <w:spacing w:after="60"/>
        <w:ind w:firstLine="567"/>
        <w:jc w:val="both"/>
      </w:pPr>
      <w:r>
        <w:rPr>
          <w:rFonts w:ascii="Arial" w:cs="Arial" w:eastAsia="Arial" w:hAnsi="Arial"/>
          <w:sz w:val="22"/>
          <w:szCs w:val="22"/>
        </w:rPr>
        <w:t xml:space="preserve">- упрощение процедур трансформации земельных участков и передачу функции трансформации от уровня Правительства Кыргызской Республики до уровня местной государственной администрации;</w:t>
      </w:r>
    </w:p>
    <w:p>
      <w:pPr>
        <w:spacing w:after="60"/>
        <w:ind w:firstLine="567"/>
        <w:jc w:val="both"/>
      </w:pPr>
      <w:r>
        <w:rPr>
          <w:rFonts w:ascii="Arial" w:cs="Arial" w:eastAsia="Arial" w:hAnsi="Arial"/>
          <w:sz w:val="22"/>
          <w:szCs w:val="22"/>
        </w:rPr>
        <w:t xml:space="preserve">- перевод земель сельскохозяйственного назначения в другую категорию допускается в случаях, связанных с формированием инвестиционного лота, включенного в реестр уполномоченного органа по продвижению инвестиций;</w:t>
      </w:r>
    </w:p>
    <w:p>
      <w:pPr>
        <w:spacing w:after="60"/>
        <w:ind w:firstLine="567"/>
        <w:jc w:val="both"/>
      </w:pPr>
      <w:r>
        <w:rPr>
          <w:rFonts w:ascii="Arial" w:cs="Arial" w:eastAsia="Arial" w:hAnsi="Arial"/>
          <w:sz w:val="22"/>
          <w:szCs w:val="22"/>
        </w:rPr>
        <w:t xml:space="preserve">- передачу объектов культуры инвесторам на срок до 30 лет;</w:t>
      </w:r>
    </w:p>
    <w:p>
      <w:pPr>
        <w:spacing w:after="60"/>
        <w:ind w:firstLine="567"/>
        <w:jc w:val="both"/>
      </w:pPr>
      <w:r>
        <w:rPr>
          <w:rFonts w:ascii="Arial" w:cs="Arial" w:eastAsia="Arial" w:hAnsi="Arial"/>
          <w:sz w:val="22"/>
          <w:szCs w:val="22"/>
        </w:rPr>
        <w:t xml:space="preserve">- инвестиционное соглашение может быть заключено путем прямых переговоров между Правительством Кыргызской Республики и инвестором, если сумма осуществляемых инвестором инвестиций в инвестиционный проект составляет не менее 10 млн. долларов США;</w:t>
      </w:r>
    </w:p>
    <w:p>
      <w:pPr>
        <w:spacing w:after="60"/>
        <w:ind w:firstLine="567"/>
        <w:jc w:val="both"/>
      </w:pPr>
      <w:r>
        <w:rPr>
          <w:rFonts w:ascii="Arial" w:cs="Arial" w:eastAsia="Arial" w:hAnsi="Arial"/>
          <w:sz w:val="22"/>
          <w:szCs w:val="22"/>
        </w:rPr>
        <w:t xml:space="preserve">- урегулирование разногласий, связанных с инвестиционной деятельностью в досудебном порядке.</w:t>
      </w:r>
    </w:p>
    <w:p>
      <w:pPr>
        <w:spacing w:after="60" w:before="200"/>
        <w:ind w:firstLine="567"/>
        <w:jc w:val="both"/>
      </w:pPr>
      <w:r>
        <w:rPr>
          <w:rFonts w:ascii="Arial" w:cs="Arial" w:eastAsia="Arial" w:hAnsi="Arial"/>
          <w:b/>
          <w:bCs/>
          <w:sz w:val="22"/>
          <w:szCs w:val="22"/>
        </w:rPr>
        <w:t xml:space="preserve">6.7. Инновационная политика</w:t>
      </w:r>
    </w:p>
    <w:p>
      <w:pPr>
        <w:spacing w:after="60"/>
        <w:ind w:firstLine="567"/>
        <w:jc w:val="both"/>
      </w:pPr>
      <w:r>
        <w:rPr>
          <w:rFonts w:ascii="Arial" w:cs="Arial" w:eastAsia="Arial" w:hAnsi="Arial"/>
          <w:sz w:val="22"/>
          <w:szCs w:val="22"/>
        </w:rPr>
        <w:t xml:space="preserve">Государственная политика в сфере интеллектуальной собственности и инновационной деятельности будет направлена на создание благоприятного экономического климата для осуществления инновационных процессов и создание условий для функционирования рынка интеллектуальной собственности. В среднесрочной перспективе будут предусмотрены условия, направленные на наращивание потенциала по созданию интеллектуальной собственности, совершенствование механизмов получения прав и защиты, а также создание условий для использования объектов интеллектуальной собственности.</w:t>
      </w:r>
    </w:p>
    <w:p>
      <w:pPr>
        <w:spacing w:after="60"/>
        <w:ind w:firstLine="567"/>
        <w:jc w:val="both"/>
      </w:pPr>
      <w:r>
        <w:rPr>
          <w:rFonts w:ascii="Arial" w:cs="Arial" w:eastAsia="Arial" w:hAnsi="Arial"/>
          <w:sz w:val="22"/>
          <w:szCs w:val="22"/>
        </w:rPr>
        <w:t xml:space="preserve">Политика в сфере интеллектуальной собственности и инновационной деятельности будет осуществляться через реализацию Государственной программы развития интеллектуальной собственности в Кыргызской Республике на 2017-2021 годы </w:t>
      </w:r>
      <w:r>
        <w:rPr>
          <w:rFonts w:ascii="Arial" w:cs="Arial" w:eastAsia="Arial" w:hAnsi="Arial"/>
          <w:sz w:val="22"/>
          <w:szCs w:val="22"/>
        </w:rPr>
        <w:t xml:space="preserve">(постановление Правительства Кыргызской Республики от 6 июля 2017 года № 424), и Концепции научно-инновационного развития Кыргызской Республики на период до 2022 года (постановление Правительства Кыргызской </w:t>
      </w:r>
      <w:r>
        <w:rPr>
          <w:rFonts w:ascii="Arial" w:cs="Arial" w:eastAsia="Arial" w:hAnsi="Arial"/>
          <w:sz w:val="22"/>
          <w:szCs w:val="22"/>
        </w:rPr>
        <w:t xml:space="preserve">Республики от 8 февраля 2017 года № 79).</w:t>
      </w:r>
    </w:p>
    <w:p>
      <w:pPr>
        <w:spacing w:after="60"/>
        <w:ind w:firstLine="567"/>
        <w:jc w:val="both"/>
      </w:pPr>
      <w:r>
        <w:rPr>
          <w:rFonts w:ascii="Arial" w:cs="Arial" w:eastAsia="Arial" w:hAnsi="Arial"/>
          <w:sz w:val="22"/>
          <w:szCs w:val="22"/>
        </w:rPr>
        <w:t xml:space="preserve">Будет реализован комплекс мер по вовлечению в процесс создания объектов интеллектуальной собственности государственных, научно-исследовательских и частных предприятий; активизации изобретательской и творческой деятельности в регионах; совершенствованию процедур предоставления прав на результаты интеллектуальной деятельности; вовлечению гражданского общества в процесс осуществления прав интеллектуальной собственности, формированию института медиации для досудебного регулирования споров; подготовке специалистов по продвижению и управлению интеллектуальной собственностью; созданию демонстрационно-опытных площадок для взаимодействия авторов интеллектуальной собственности и бизнес-структур.</w:t>
      </w:r>
    </w:p>
    <w:p>
      <w:pPr>
        <w:spacing w:after="60"/>
        <w:ind w:firstLine="567"/>
        <w:jc w:val="both"/>
      </w:pPr>
      <w:r>
        <w:rPr>
          <w:rFonts w:ascii="Arial" w:cs="Arial" w:eastAsia="Arial" w:hAnsi="Arial"/>
          <w:sz w:val="22"/>
          <w:szCs w:val="22"/>
        </w:rPr>
        <w:t xml:space="preserve">Принятые меры будут способствовать совершенствованию нормативных правовых актов в сфере интеллектуальной собственности; формированию единого видения по созданию и развитию национальной инновационной системы; созданию площадки для сотрудничества между малым и средним предпринимательством, фермерами, государственными структурами и наукой страны;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автоматизации процесса рассмотрения заявок на объекты интеллектуальной собственности; информированности населения о роли и значении интеллектуальной собственности, вреде контрафактной продукции, содержащей объекты интеллектуальной собственности.</w:t>
      </w:r>
    </w:p>
    <w:p>
      <w:pPr>
        <w:spacing w:after="60" w:before="200"/>
        <w:ind w:firstLine="567"/>
        <w:jc w:val="both"/>
      </w:pPr>
      <w:r>
        <w:rPr>
          <w:rFonts w:ascii="Arial" w:cs="Arial" w:eastAsia="Arial" w:hAnsi="Arial"/>
          <w:b/>
          <w:bCs/>
          <w:sz w:val="22"/>
          <w:szCs w:val="22"/>
        </w:rPr>
        <w:t xml:space="preserve">6.8. Экологическая безопасность и охрана окружающей среды</w:t>
      </w:r>
    </w:p>
    <w:p>
      <w:pPr>
        <w:spacing w:after="60"/>
        <w:ind w:firstLine="567"/>
        <w:jc w:val="both"/>
      </w:pPr>
      <w:r>
        <w:rPr>
          <w:rFonts w:ascii="Arial" w:cs="Arial" w:eastAsia="Arial" w:hAnsi="Arial"/>
          <w:sz w:val="22"/>
          <w:szCs w:val="22"/>
        </w:rPr>
        <w:t xml:space="preserve">Деятельность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60"/>
        <w:ind w:firstLine="567"/>
        <w:jc w:val="both"/>
      </w:pPr>
      <w:r>
        <w:rPr>
          <w:rFonts w:ascii="Arial" w:cs="Arial" w:eastAsia="Arial" w:hAnsi="Arial"/>
          <w:sz w:val="22"/>
          <w:szCs w:val="22"/>
        </w:rPr>
        <w:t xml:space="preserve">Приоритетными направлениями обеспечения экологической безопасности будут:</w:t>
      </w:r>
    </w:p>
    <w:p>
      <w:pPr>
        <w:spacing w:after="60"/>
        <w:ind w:firstLine="567"/>
        <w:jc w:val="both"/>
      </w:pPr>
      <w:r>
        <w:rPr>
          <w:rFonts w:ascii="Arial" w:cs="Arial" w:eastAsia="Arial" w:hAnsi="Arial"/>
          <w:sz w:val="22"/>
          <w:szCs w:val="22"/>
        </w:rPr>
        <w:t xml:space="preserve">- оптимизация системы государственного управления охраной окружающей среды и природопользования;</w:t>
      </w:r>
    </w:p>
    <w:p>
      <w:pPr>
        <w:spacing w:after="60"/>
        <w:ind w:firstLine="567"/>
        <w:jc w:val="both"/>
      </w:pPr>
      <w:r>
        <w:rPr>
          <w:rFonts w:ascii="Arial" w:cs="Arial" w:eastAsia="Arial" w:hAnsi="Arial"/>
          <w:sz w:val="22"/>
          <w:szCs w:val="22"/>
        </w:rPr>
        <w:t xml:space="preserve">- снижение вредного воздействия и минимизация негативных экологических последствий экономической деятельности;</w:t>
      </w:r>
    </w:p>
    <w:p>
      <w:pPr>
        <w:spacing w:after="60"/>
        <w:ind w:firstLine="567"/>
        <w:jc w:val="both"/>
      </w:pPr>
      <w:r>
        <w:rPr>
          <w:rFonts w:ascii="Arial" w:cs="Arial" w:eastAsia="Arial" w:hAnsi="Arial"/>
          <w:sz w:val="22"/>
          <w:szCs w:val="22"/>
        </w:rPr>
        <w:t xml:space="preserve">- сохранение биоразнообразия и восстановление природных экосистем в условиях изменяющегося климата;</w:t>
      </w:r>
    </w:p>
    <w:p>
      <w:pPr>
        <w:spacing w:after="60"/>
        <w:ind w:firstLine="567"/>
        <w:jc w:val="both"/>
      </w:pPr>
      <w:r>
        <w:rPr>
          <w:rFonts w:ascii="Arial" w:cs="Arial" w:eastAsia="Arial" w:hAnsi="Arial"/>
          <w:sz w:val="22"/>
          <w:szCs w:val="22"/>
        </w:rPr>
        <w:t xml:space="preserve">- выращивание посадочного материала для озеленения (в количестве 500 тыс. штук) в 2020-2022 годы.</w:t>
      </w:r>
    </w:p>
    <w:p>
      <w:pPr>
        <w:spacing w:after="60"/>
        <w:ind w:firstLine="567"/>
        <w:jc w:val="both"/>
      </w:pPr>
      <w:r>
        <w:rPr>
          <w:rFonts w:ascii="Arial" w:cs="Arial" w:eastAsia="Arial" w:hAnsi="Arial"/>
          <w:sz w:val="22"/>
          <w:szCs w:val="22"/>
        </w:rPr>
        <w:t xml:space="preserve">В целях минимизации негативных последствий изменения климата и его смягчения для населения и экономики страны будут приниматься меры по:</w:t>
      </w:r>
    </w:p>
    <w:p>
      <w:pPr>
        <w:spacing w:after="60"/>
        <w:ind w:firstLine="567"/>
        <w:jc w:val="both"/>
      </w:pPr>
      <w:r>
        <w:rPr>
          <w:rFonts w:ascii="Arial" w:cs="Arial" w:eastAsia="Arial" w:hAnsi="Arial"/>
          <w:sz w:val="22"/>
          <w:szCs w:val="22"/>
        </w:rPr>
        <w:t xml:space="preserve">- разработке отраслевых адаптационных программ по основным секторам;</w:t>
      </w:r>
    </w:p>
    <w:p>
      <w:pPr>
        <w:spacing w:after="60"/>
        <w:ind w:firstLine="567"/>
        <w:jc w:val="both"/>
      </w:pPr>
      <w:r>
        <w:rPr>
          <w:rFonts w:ascii="Arial" w:cs="Arial" w:eastAsia="Arial" w:hAnsi="Arial"/>
          <w:sz w:val="22"/>
          <w:szCs w:val="22"/>
        </w:rPr>
        <w:t xml:space="preserve">- внедрению методологий, методик и инструментов для планирования адаптационной деятельности;</w:t>
      </w:r>
    </w:p>
    <w:p>
      <w:pPr>
        <w:spacing w:after="60"/>
        <w:ind w:firstLine="567"/>
        <w:jc w:val="both"/>
      </w:pPr>
      <w:r>
        <w:rPr>
          <w:rFonts w:ascii="Arial" w:cs="Arial" w:eastAsia="Arial" w:hAnsi="Arial"/>
          <w:sz w:val="22"/>
          <w:szCs w:val="22"/>
        </w:rPr>
        <w:t xml:space="preserve">- уменьшению потерь от неблагоприятного воздействия изменения климата на здоровье населения, экономику и окружающую среду.</w:t>
      </w:r>
    </w:p>
    <w:p>
      <w:pPr>
        <w:spacing w:after="60" w:before="200"/>
        <w:ind w:firstLine="567"/>
        <w:jc w:val="both"/>
      </w:pPr>
      <w:r>
        <w:rPr>
          <w:rFonts w:ascii="Arial" w:cs="Arial" w:eastAsia="Arial" w:hAnsi="Arial"/>
          <w:b/>
          <w:bCs/>
          <w:sz w:val="22"/>
          <w:szCs w:val="22"/>
        </w:rPr>
        <w:t xml:space="preserve">6.9. Прогноз структуры экономического роста</w:t>
      </w:r>
    </w:p>
    <w:p>
      <w:pPr>
        <w:spacing w:after="60" w:before="200"/>
        <w:ind w:firstLine="567"/>
        <w:jc w:val="both"/>
      </w:pPr>
      <w:r>
        <w:rPr>
          <w:rFonts w:ascii="Arial" w:cs="Arial" w:eastAsia="Arial" w:hAnsi="Arial"/>
          <w:b/>
          <w:bCs/>
          <w:sz w:val="22"/>
          <w:szCs w:val="22"/>
        </w:rPr>
        <w:t xml:space="preserve">6.9.1. ВВП производственным методом</w:t>
      </w:r>
    </w:p>
    <w:p>
      <w:pPr>
        <w:spacing w:after="60"/>
        <w:ind w:firstLine="567"/>
        <w:jc w:val="both"/>
      </w:pPr>
      <w:r>
        <w:rPr>
          <w:rFonts w:ascii="Arial" w:cs="Arial" w:eastAsia="Arial" w:hAnsi="Arial"/>
          <w:sz w:val="22"/>
          <w:szCs w:val="22"/>
        </w:rPr>
        <w:t xml:space="preserve">Реализация указанных политик (6.1.-6.8.) позволит обеспечить макроэкономическую стабильность. На основе учета вышеуказанных предпосылок и предположений экономический рост на 2021 год прогнозируется на уровне 5,0%, с номинальным объемом 635,0 млрд. сомов, без учета предприятий по разработке месторождения Кумтор - на уровне 5,8%.</w:t>
      </w:r>
    </w:p>
    <w:p>
      <w:pPr>
        <w:spacing w:after="60"/>
        <w:ind w:firstLine="567"/>
        <w:jc w:val="both"/>
      </w:pPr>
      <w:r>
        <w:rPr>
          <w:rFonts w:ascii="Arial" w:cs="Arial" w:eastAsia="Arial" w:hAnsi="Arial"/>
          <w:sz w:val="22"/>
          <w:szCs w:val="22"/>
        </w:rPr>
        <w:t xml:space="preserve">Основные показатели в секторах экономики на 2021 год прогнозируются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6</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2"/>
          <w:szCs w:val="22"/>
        </w:rPr>
        <w:t xml:space="preserve">Структура и темпы роста по отраслям, формирующим ВВП
 </w:t>
      </w:r>
      <w:r>
        <w:rPr>
          <w:rFonts w:ascii="Arial" w:cs="Arial" w:eastAsia="Arial" w:hAnsi="Arial"/>
          <w:sz w:val="22"/>
          <w:szCs w:val="22"/>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9"/>
        <w:gridCol w:w="1006"/>
        <w:gridCol w:w="1006"/>
        <w:gridCol w:w="1006"/>
        <w:gridCol w:w="1006"/>
        <w:gridCol w:w="1006"/>
        <w:gridCol w:w="1006"/>
        <w:gridCol w:w="1006"/>
        <w:gridCol w:w="1006"/>
      </w:tblGrid>
      <w:tr>
        <w:tc>
          <w:tcPr>
            <w:tcW w:type="dxa" w:w="21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40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vMerge w:val="continue"/>
            <w:tcBorders>
              <w:top w:val="single" w:color="CBBF9E" w:sz="4"/>
              <w:left w:val="single" w:color="CBBF9E" w:sz="4"/>
              <w:bottom w:val="single" w:color="CBBF9E" w:sz="4"/>
              <w:right w:val="single" w:color="CBBF9E" w:sz="4"/>
            </w:tcBorders>
          </w:tcP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ВВП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583161,9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94,7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635040,7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105,0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5,0</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106238,0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112873,5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75817,9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80825,7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59819,5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66667,0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263017,0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290252,4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продуты и импорт</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78269,5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84422,1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bl>
    <w:p>
      <w:pPr>
        <w:spacing w:after="60" w:before="120"/>
        <w:ind w:firstLine="567"/>
        <w:jc w:val="both"/>
      </w:pPr>
      <w:r>
        <w:rPr>
          <w:rFonts w:ascii="Arial" w:cs="Arial" w:eastAsia="Arial" w:hAnsi="Arial"/>
          <w:sz w:val="22"/>
          <w:szCs w:val="22"/>
        </w:rPr>
        <w:t xml:space="preserve">Экономический рост, прогнозируемый на уровне 5,0%, будет поддерживаться со стороны всех отраслей экономики, формирующих ВВП страны. При этом </w:t>
      </w:r>
      <w:r>
        <w:rPr>
          <w:rFonts w:ascii="Arial" w:cs="Arial" w:eastAsia="Arial" w:hAnsi="Arial"/>
          <w:sz w:val="22"/>
          <w:szCs w:val="22"/>
        </w:rPr>
        <w:t xml:space="preserve">наибольший вклад будет обеспечен со стороны отраслей, оказывающих услуги - 2,3 процентного пункта, а вклады других отраслей будут умеренными: строительства - 1,0 процентного пункта, сельского хозяйства - 0,4 процентного пункта, промышленности - 0,7 процентного пункта.</w:t>
      </w:r>
    </w:p>
    <w:p>
      <w:pPr>
        <w:spacing w:after="60"/>
        <w:ind w:firstLine="567"/>
        <w:jc w:val="both"/>
      </w:pPr>
      <w:r>
        <w:rPr>
          <w:rFonts w:ascii="Arial" w:cs="Arial" w:eastAsia="Arial" w:hAnsi="Arial"/>
          <w:sz w:val="22"/>
          <w:szCs w:val="22"/>
        </w:rPr>
        <w:t xml:space="preserve">Складывающиеся тенденции в экономике будут оказывать влияние на структуру ВВП по отраслям экономики, где, как и раньше, основную долю будут занимать отрасли, оказывающие услуги, - 45,7%, а доля отраслей, производящих товары, - 41,0%.</w:t>
      </w:r>
    </w:p>
    <w:p>
      <w:pPr>
        <w:spacing w:after="60" w:before="200"/>
        <w:ind w:firstLine="567"/>
        <w:jc w:val="both"/>
      </w:pPr>
      <w:r>
        <w:rPr>
          <w:rFonts w:ascii="Arial" w:cs="Arial" w:eastAsia="Arial" w:hAnsi="Arial"/>
          <w:b/>
          <w:bCs/>
          <w:sz w:val="22"/>
          <w:szCs w:val="22"/>
        </w:rPr>
        <w:t xml:space="preserve">Развитие реального сектора</w:t>
      </w:r>
    </w:p>
    <w:p>
      <w:pPr>
        <w:spacing w:after="60" w:before="200"/>
        <w:ind w:firstLine="567"/>
        <w:jc w:val="both"/>
      </w:pPr>
      <w:r>
        <w:rPr>
          <w:rFonts w:ascii="Arial" w:cs="Arial" w:eastAsia="Arial" w:hAnsi="Arial"/>
          <w:b/>
          <w:bCs/>
          <w:sz w:val="22"/>
          <w:szCs w:val="22"/>
        </w:rPr>
        <w:t xml:space="preserve">Сельское хозяйство</w:t>
      </w:r>
    </w:p>
    <w:p>
      <w:pPr>
        <w:spacing w:after="60"/>
        <w:ind w:firstLine="567"/>
        <w:jc w:val="both"/>
      </w:pPr>
      <w:r>
        <w:rPr>
          <w:rFonts w:ascii="Arial" w:cs="Arial" w:eastAsia="Arial" w:hAnsi="Arial"/>
          <w:sz w:val="22"/>
          <w:szCs w:val="22"/>
        </w:rPr>
        <w:t xml:space="preserve">В постпандемический период обеспечение гарантии продовольственной независимости и доступности продуктов питания за счет внутренних источников согласно среднефизиологическим нормам потребления для обеспечения нормальной жизнедеятельности населения обусловливают актуальность развития сельского хозяйства, аграрных отношений и аграрной политики. Драйвером роста сельскохозяйственного производства послужит увеличение внутреннего спроса на агропродукцию за счет повышения качества и конкурентоспособности.</w:t>
      </w:r>
    </w:p>
    <w:p>
      <w:pPr>
        <w:spacing w:after="60"/>
        <w:ind w:firstLine="567"/>
        <w:jc w:val="both"/>
      </w:pPr>
      <w:r>
        <w:rPr>
          <w:rFonts w:ascii="Arial" w:cs="Arial" w:eastAsia="Arial" w:hAnsi="Arial"/>
          <w:sz w:val="22"/>
          <w:szCs w:val="22"/>
        </w:rPr>
        <w:t xml:space="preserve">Развитие сельского хозяйства будет сконцентрировано на следующих приоритетных направлениях:</w:t>
      </w:r>
    </w:p>
    <w:p>
      <w:pPr>
        <w:spacing w:after="60"/>
        <w:ind w:firstLine="567"/>
        <w:jc w:val="both"/>
      </w:pPr>
      <w:r>
        <w:rPr>
          <w:rFonts w:ascii="Arial" w:cs="Arial" w:eastAsia="Arial" w:hAnsi="Arial"/>
          <w:sz w:val="22"/>
          <w:szCs w:val="22"/>
        </w:rPr>
        <w:t xml:space="preserve">- введение в оборот новых орошаемых земель пашни через реализацию инвестиционных проектов по ирригации;</w:t>
      </w:r>
    </w:p>
    <w:p>
      <w:pPr>
        <w:spacing w:after="60"/>
        <w:ind w:firstLine="567"/>
        <w:jc w:val="both"/>
      </w:pPr>
      <w:r>
        <w:rPr>
          <w:rFonts w:ascii="Arial" w:cs="Arial" w:eastAsia="Arial" w:hAnsi="Arial"/>
          <w:sz w:val="22"/>
          <w:szCs w:val="22"/>
        </w:rPr>
        <w:t xml:space="preserve">- активизация инновационной деятельности в растениеводстве, направленная на разработку систем воспроизводства почвенного плодородия, методов селекции, создание и внедрение новых сортов и гибридов, сочетающих высокий потенциал урожайности, качество продукции, устойчивость к болезням и вредителям, неблагоприятным погодным условиям, с техническим и технологическим переоснащением отрасли;</w:t>
      </w:r>
    </w:p>
    <w:p>
      <w:pPr>
        <w:spacing w:after="60"/>
        <w:ind w:firstLine="567"/>
        <w:jc w:val="both"/>
      </w:pPr>
      <w:r>
        <w:rPr>
          <w:rFonts w:ascii="Arial" w:cs="Arial" w:eastAsia="Arial" w:hAnsi="Arial"/>
          <w:sz w:val="22"/>
          <w:szCs w:val="22"/>
        </w:rPr>
        <w:t xml:space="preserve">- увеличение объемов экспорта продукции агропромышленного комплекса путем введения в эксплуатацию новых объектов и создания торгово-логистических центров и пунктов убоя скота, организации систем лабораторной сертификации ветеринарного и фитосанитарного контроля, отвечающим международным стандартам качества;</w:t>
      </w:r>
    </w:p>
    <w:p>
      <w:pPr>
        <w:spacing w:after="60"/>
        <w:ind w:firstLine="567"/>
        <w:jc w:val="both"/>
      </w:pPr>
      <w:r>
        <w:rPr>
          <w:rFonts w:ascii="Arial" w:cs="Arial" w:eastAsia="Arial" w:hAnsi="Arial"/>
          <w:sz w:val="22"/>
          <w:szCs w:val="22"/>
        </w:rPr>
        <w:t xml:space="preserve">- повышение конкурентоспособности агропромышленной продукции посредством перспективных факторов рационального размещения производительных сил;</w:t>
      </w:r>
    </w:p>
    <w:p>
      <w:pPr>
        <w:spacing w:after="60"/>
        <w:ind w:firstLine="567"/>
        <w:jc w:val="both"/>
      </w:pPr>
      <w:r>
        <w:rPr>
          <w:rFonts w:ascii="Arial" w:cs="Arial" w:eastAsia="Arial" w:hAnsi="Arial"/>
          <w:sz w:val="22"/>
          <w:szCs w:val="22"/>
        </w:rPr>
        <w:t xml:space="preserve">- развитие агропродовольственного рынка и его инфраструктуры, обеспечивающей ускорение товарооборота и расширение емкости агропродовольственного рынка, в том числе улучшение организации хранения, повышение эффективности транспортировки сельхозпродукции, создание оптово-распределительных, маркетинговых и логистических центров для обслуживания субъектов продовольственного рынка;</w:t>
      </w:r>
    </w:p>
    <w:p>
      <w:pPr>
        <w:spacing w:after="60"/>
        <w:ind w:firstLine="567"/>
        <w:jc w:val="both"/>
      </w:pPr>
      <w:r>
        <w:rPr>
          <w:rFonts w:ascii="Arial" w:cs="Arial" w:eastAsia="Arial" w:hAnsi="Arial"/>
          <w:sz w:val="22"/>
          <w:szCs w:val="22"/>
        </w:rPr>
        <w:t xml:space="preserve">- совершенствование рационального </w:t>
      </w:r>
      <w:r>
        <w:rPr>
          <w:rFonts w:ascii="Arial" w:cs="Arial" w:eastAsia="Arial" w:hAnsi="Arial"/>
          <w:sz w:val="22"/>
          <w:szCs w:val="22"/>
        </w:rPr>
        <w:t xml:space="preserve">использования водных и земельных ресурсов, внедрение экономических стимулов рационального пользования.</w:t>
      </w:r>
    </w:p>
    <w:p>
      <w:pPr>
        <w:spacing w:after="60"/>
        <w:ind w:firstLine="567"/>
        <w:jc w:val="both"/>
      </w:pPr>
      <w:r>
        <w:rPr>
          <w:rFonts w:ascii="Arial" w:cs="Arial" w:eastAsia="Arial" w:hAnsi="Arial"/>
          <w:sz w:val="22"/>
          <w:szCs w:val="22"/>
        </w:rPr>
        <w:t xml:space="preserve">Для продвижения указанных направлений будут реализованы меры, предусмотренные в Программе деятельности Правительства Кыргызской Республики (постановление Жогорку Кенеша Кыргызской Республики от 17 июня 2020 года № 3876-VI), а также в следующих программных документах:</w:t>
      </w:r>
    </w:p>
    <w:p>
      <w:pPr>
        <w:spacing w:after="60"/>
        <w:ind w:firstLine="567"/>
        <w:jc w:val="both"/>
      </w:pPr>
      <w:r>
        <w:rPr>
          <w:rFonts w:ascii="Arial" w:cs="Arial" w:eastAsia="Arial" w:hAnsi="Arial"/>
          <w:sz w:val="22"/>
          <w:szCs w:val="22"/>
        </w:rPr>
        <w:t xml:space="preserve">- Концепция развития сельскохозяйственной кооперативной системы в Кыргызской Республике на 2017-2021 годы (постановление Правительства Кыргызской Республики от 21 апреля 2017 года № 237), направленная на развитие сельскохозяйственных кооперативов в Кыргызской Республике, повышение конкурентоспособности продукции агропромышленного комплекса;</w:t>
      </w:r>
    </w:p>
    <w:p>
      <w:pPr>
        <w:spacing w:after="60"/>
        <w:ind w:firstLine="567"/>
        <w:jc w:val="both"/>
      </w:pPr>
      <w:r>
        <w:rPr>
          <w:rFonts w:ascii="Arial" w:cs="Arial" w:eastAsia="Arial" w:hAnsi="Arial"/>
          <w:sz w:val="22"/>
          <w:szCs w:val="22"/>
        </w:rPr>
        <w:t xml:space="preserve">- Концепция сохранения и повышения плодородия почвы земель сельскохозяйственного назначения в Кыргызской Республике на 2017-2020 годы (постановление Правительства Кыргызской Республики от 30 июня 2017 года № 414), реализация которой обеспечит производство и ассортимент отечественных экологически безопасных минеральных удобрений и мелиорантов, прирост урожайности сельскохозяйственных культур на 15-20%, а также повышение устойчивости развития сельскохозяйственного производства за счет проведения агрохимических, гидромелиоративных, агролесомелиоративных работ;</w:t>
      </w:r>
    </w:p>
    <w:p>
      <w:pPr>
        <w:spacing w:after="60"/>
        <w:ind w:firstLine="567"/>
        <w:jc w:val="both"/>
      </w:pPr>
      <w:r>
        <w:rPr>
          <w:rFonts w:ascii="Arial" w:cs="Arial" w:eastAsia="Arial" w:hAnsi="Arial"/>
          <w:sz w:val="22"/>
          <w:szCs w:val="22"/>
        </w:rPr>
        <w:t xml:space="preserve">- Государственная программа развития ирригации в Кыргызской Республике на 2017-2026 годы (постановление Правительства Кыргызской Республики от 21 июля 2017 года № 440), предусматривающая строительство ирригационной инфраструктуры для обеспечения новыми орошаемыми землями сельских жителей;</w:t>
      </w:r>
    </w:p>
    <w:p>
      <w:pPr>
        <w:spacing w:after="60"/>
        <w:ind w:firstLine="567"/>
        <w:jc w:val="both"/>
      </w:pPr>
      <w:r>
        <w:rPr>
          <w:rFonts w:ascii="Arial" w:cs="Arial" w:eastAsia="Arial" w:hAnsi="Arial"/>
          <w:sz w:val="22"/>
          <w:szCs w:val="22"/>
        </w:rPr>
        <w:t xml:space="preserve">- Концепция развития органического сельскохозяйственного производства в Кыргызской Республике на 2017-2022 годы (постановление Правительства Кыргызской Республики от 2 августа 2017 года № 459), направленная на создание благоприятных условий по развитию органического сельского хозяйства и повышение конкурентоспособности органической продукции путем совершенствования нормативных правовых актов;</w:t>
      </w:r>
    </w:p>
    <w:p>
      <w:pPr>
        <w:spacing w:after="60"/>
        <w:ind w:firstLine="567"/>
        <w:jc w:val="both"/>
      </w:pPr>
      <w:r>
        <w:rPr>
          <w:rFonts w:ascii="Arial" w:cs="Arial" w:eastAsia="Arial" w:hAnsi="Arial"/>
          <w:sz w:val="22"/>
          <w:szCs w:val="22"/>
        </w:rPr>
        <w:t xml:space="preserve">- Программа по созданию и развитию торгово-логистических центров сельскохозяйственной продукции в Кыргызской Республике на 2019-2023 годы (постановление Правительства </w:t>
      </w:r>
      <w:r>
        <w:rPr>
          <w:rFonts w:ascii="Arial" w:cs="Arial" w:eastAsia="Arial" w:hAnsi="Arial"/>
          <w:sz w:val="22"/>
          <w:szCs w:val="22"/>
        </w:rPr>
        <w:t xml:space="preserve">Кыргызской Республики от 27 июня 2019 года № 321), направленная на поддержку развития рынка сельскохозяйственной продукции и увеличение экспортного потенциала.</w:t>
      </w:r>
    </w:p>
    <w:p>
      <w:pPr>
        <w:spacing w:after="60"/>
        <w:ind w:firstLine="567"/>
        <w:jc w:val="both"/>
      </w:pPr>
      <w:r>
        <w:rPr>
          <w:rFonts w:ascii="Arial" w:cs="Arial" w:eastAsia="Arial" w:hAnsi="Arial"/>
          <w:sz w:val="22"/>
          <w:szCs w:val="22"/>
        </w:rPr>
        <w:t xml:space="preserve">Вследствие реализации вышеперечисленных программных документов валовой  выпуск продукции сельского хозяйства, лесного хозяйства и рыболовства на 2021 год прогнозируется и объеме 249,2 млрд. сомов, а темп реального прироста - на уровне 3,0%, за счет прироста в растениеводстве на 3,5% и животноводства - на 2,6%.</w:t>
      </w:r>
    </w:p>
    <w:p>
      <w:pPr>
        <w:spacing w:after="60"/>
        <w:ind w:firstLine="567"/>
        <w:jc w:val="both"/>
      </w:pPr>
      <w:r>
        <w:rPr>
          <w:rFonts w:ascii="Arial" w:cs="Arial" w:eastAsia="Arial" w:hAnsi="Arial"/>
          <w:b/>
          <w:bCs/>
          <w:sz w:val="22"/>
          <w:szCs w:val="22"/>
        </w:rPr>
        <w:t xml:space="preserve">Растениеводство.</w:t>
      </w:r>
      <w:r>
        <w:rPr>
          <w:rFonts w:ascii="Arial" w:cs="Arial" w:eastAsia="Arial" w:hAnsi="Arial"/>
          <w:sz w:val="22"/>
          <w:szCs w:val="22"/>
        </w:rPr>
        <w:t xml:space="preserve"> Прогнозируемые показатели роста в 3,5% обусловливаются благоприятным влиянием природно-климатического фактора, продолжением оказания государственной поддержки в выделении горюче-смазочных материалов, обеспечением фермеров необходимой сельскохозяйственной техникой на льготных кредитных условиях путем закупки сельскохозяйственной техники по лизингу, решением проблемы с обеспечением крестьян и фермеров азотными минеральными удобрениями, продолжением развития тепличных хозяйств и наращиванием объемов производства в хозяйстве, специализацией регионов на выращивании технических культур, реализация которых будет иметь наибольший положительный эффект для благосостояния сельскохозяйственных производителей.</w:t>
      </w:r>
    </w:p>
    <w:p>
      <w:pPr>
        <w:spacing w:after="60"/>
        <w:ind w:firstLine="567"/>
        <w:jc w:val="both"/>
      </w:pPr>
      <w:r>
        <w:rPr>
          <w:rFonts w:ascii="Arial" w:cs="Arial" w:eastAsia="Arial" w:hAnsi="Arial"/>
          <w:sz w:val="22"/>
          <w:szCs w:val="22"/>
        </w:rPr>
        <w:t xml:space="preserve">Темп роста в основном будет обеспечен за счет увеличения производства: зерновых культур - на 2,8%, увеличения посевной площади на 14,6 тыс. га - до 646,5 тыс. га в связи с ростом внутреннего спроса, а также с целью повышения уровня продовольственной обеспеченности зерном за счет собственного производства; сахарной свеклы - на 69,5%, за счет повышения посевной площади на 5,8 тыс. га - до 13,8 тыс. га, что обусловлено высокой базой предыдущего года; картофеля - на 2,3%, за счет повышения урожайности с 173,0 ц/га до 173,5 ц/га, а также увеличения посевной площади на 1,4 тыс. га - до 72,4 тыс. га; овощей - на 3,1%, за счет повышения урожайности с 215,3 ц/га до 222,0 ц/га; плодов и ягод - на 5,4%, за счет повышения урожайности с 54,6 до 57,4 ц/га.</w:t>
      </w:r>
    </w:p>
    <w:p>
      <w:pPr>
        <w:spacing w:after="60"/>
        <w:ind w:firstLine="567"/>
        <w:jc w:val="both"/>
      </w:pPr>
      <w:r>
        <w:rPr>
          <w:rFonts w:ascii="Arial" w:cs="Arial" w:eastAsia="Arial" w:hAnsi="Arial"/>
          <w:b/>
          <w:bCs/>
          <w:sz w:val="22"/>
          <w:szCs w:val="22"/>
        </w:rPr>
        <w:t xml:space="preserve">Животноводство.</w:t>
      </w:r>
      <w:r>
        <w:rPr>
          <w:rFonts w:ascii="Arial" w:cs="Arial" w:eastAsia="Arial" w:hAnsi="Arial"/>
          <w:sz w:val="22"/>
          <w:szCs w:val="22"/>
        </w:rPr>
        <w:t xml:space="preserve"> В производстве продукции животноводства реальный прирост на уровне 2,6% будет достигнут за счет обеспечения благополучия эпизоотической обстановки в животноводстве по острозаразным болезням, увеличения в севообороте площадей многолетних трав и рационального использования кормового потенциала пастбищ, внедрения инновационных технологий в производстве. При этом рост производства мяса в живом весе прогнозируется на 2,5% и увеличится по сравнению с предыдущим годом на 10,6 тыс. тонн, молока - на 2,7%, с увеличением на 44,8 тыс. тонн, яиц - на 4,3%, с увеличением на 25,0 млн. штук и шерсти - на 1,5%, с увеличением на 0,2 тыс. тонн.</w:t>
      </w:r>
    </w:p>
    <w:p>
      <w:pPr>
        <w:spacing w:after="60"/>
        <w:ind w:firstLine="567"/>
        <w:jc w:val="both"/>
      </w:pPr>
      <w:r>
        <w:rPr>
          <w:rFonts w:ascii="Arial" w:cs="Arial" w:eastAsia="Arial" w:hAnsi="Arial"/>
          <w:sz w:val="22"/>
          <w:szCs w:val="22"/>
        </w:rPr>
        <w:t xml:space="preserve">Предпосылками развития сельского хозяйства в 2021 году будут следующие факторы:</w:t>
      </w:r>
    </w:p>
    <w:p>
      <w:pPr>
        <w:spacing w:after="60"/>
        <w:ind w:firstLine="567"/>
        <w:jc w:val="both"/>
      </w:pPr>
      <w:r>
        <w:rPr>
          <w:rFonts w:ascii="Arial" w:cs="Arial" w:eastAsia="Arial" w:hAnsi="Arial"/>
          <w:sz w:val="22"/>
          <w:szCs w:val="22"/>
        </w:rPr>
        <w:t xml:space="preserve">- благоприятные природно-климатические условия;</w:t>
      </w:r>
    </w:p>
    <w:p>
      <w:pPr>
        <w:spacing w:after="60"/>
        <w:ind w:firstLine="567"/>
        <w:jc w:val="both"/>
      </w:pPr>
      <w:r>
        <w:rPr>
          <w:rFonts w:ascii="Arial" w:cs="Arial" w:eastAsia="Arial" w:hAnsi="Arial"/>
          <w:sz w:val="22"/>
          <w:szCs w:val="22"/>
        </w:rPr>
        <w:t xml:space="preserve">- развитие частных рыночных взаимоотношений и установление двусторонних договорных отношений (фьючерсная система) на поставку продукции, улучшение маркетинга основных экспортных товаров, поиск новых рынков сбыта;</w:t>
      </w:r>
    </w:p>
    <w:p>
      <w:pPr>
        <w:spacing w:after="60"/>
        <w:ind w:firstLine="567"/>
        <w:jc w:val="both"/>
      </w:pPr>
      <w:r>
        <w:rPr>
          <w:rFonts w:ascii="Arial" w:cs="Arial" w:eastAsia="Arial" w:hAnsi="Arial"/>
          <w:sz w:val="22"/>
          <w:szCs w:val="22"/>
        </w:rPr>
        <w:t xml:space="preserve">- эффект от предоставленных льготных кредитов по программам "Доступные кредиты фермерам" и "Финансирование сельского хозяйства 1, 2, 3, 4, 5, 6, 7, 8";</w:t>
      </w:r>
    </w:p>
    <w:p>
      <w:pPr>
        <w:spacing w:after="60"/>
        <w:ind w:firstLine="567"/>
        <w:jc w:val="both"/>
      </w:pPr>
      <w:r>
        <w:rPr>
          <w:rFonts w:ascii="Arial" w:cs="Arial" w:eastAsia="Arial" w:hAnsi="Arial"/>
          <w:sz w:val="22"/>
          <w:szCs w:val="22"/>
        </w:rPr>
        <w:t xml:space="preserve">- оказание государственной поддержки фермерам в виде предоставления кредитов по программе льготного кредитования в рамках программы "Финансирование сельского хозяйства";</w:t>
      </w:r>
    </w:p>
    <w:p>
      <w:pPr>
        <w:spacing w:after="60"/>
        <w:ind w:firstLine="567"/>
        <w:jc w:val="both"/>
      </w:pPr>
      <w:r>
        <w:rPr>
          <w:rFonts w:ascii="Arial" w:cs="Arial" w:eastAsia="Arial" w:hAnsi="Arial"/>
          <w:sz w:val="22"/>
          <w:szCs w:val="22"/>
        </w:rPr>
        <w:t xml:space="preserve">- интенсивное внедрение инновационных технологий, продолжение развития тепличных хозяйств и наращивание объемов производства в хозяйстве;</w:t>
      </w:r>
    </w:p>
    <w:p>
      <w:pPr>
        <w:spacing w:after="60"/>
        <w:ind w:firstLine="567"/>
        <w:jc w:val="both"/>
      </w:pPr>
      <w:r>
        <w:rPr>
          <w:rFonts w:ascii="Arial" w:cs="Arial" w:eastAsia="Arial" w:hAnsi="Arial"/>
          <w:sz w:val="22"/>
          <w:szCs w:val="22"/>
        </w:rPr>
        <w:t xml:space="preserve">- активное использование и внедрение фермерами систем капельного орошения, которые в два раза увеличивают урожайность и позволят эффективно использовать водные ресурсы;</w:t>
      </w:r>
    </w:p>
    <w:p>
      <w:pPr>
        <w:spacing w:after="60"/>
        <w:ind w:firstLine="567"/>
        <w:jc w:val="both"/>
      </w:pPr>
      <w:r>
        <w:rPr>
          <w:rFonts w:ascii="Arial" w:cs="Arial" w:eastAsia="Arial" w:hAnsi="Arial"/>
          <w:sz w:val="22"/>
          <w:szCs w:val="22"/>
        </w:rPr>
        <w:t xml:space="preserve">- увеличение посевов сертифицированных семян, улучшение методов обработки земли;</w:t>
      </w:r>
    </w:p>
    <w:p>
      <w:pPr>
        <w:spacing w:after="60"/>
        <w:ind w:firstLine="567"/>
        <w:jc w:val="both"/>
      </w:pPr>
      <w:r>
        <w:rPr>
          <w:rFonts w:ascii="Arial" w:cs="Arial" w:eastAsia="Arial" w:hAnsi="Arial"/>
          <w:sz w:val="22"/>
          <w:szCs w:val="22"/>
        </w:rPr>
        <w:t xml:space="preserve">- проведение работы по стимулированию мелких сельскохозяйственных производителей к объединению в сельскохозяйственные животноводческие и растениеводческие кооперативы;</w:t>
      </w:r>
    </w:p>
    <w:p>
      <w:pPr>
        <w:spacing w:after="60"/>
        <w:ind w:firstLine="567"/>
        <w:jc w:val="both"/>
      </w:pPr>
      <w:r>
        <w:rPr>
          <w:rFonts w:ascii="Arial" w:cs="Arial" w:eastAsia="Arial" w:hAnsi="Arial"/>
          <w:sz w:val="22"/>
          <w:szCs w:val="22"/>
        </w:rPr>
        <w:t xml:space="preserve">- оптимизация структуры посевных площадей по урожайности культур с учетом региональных факторов;</w:t>
      </w:r>
    </w:p>
    <w:p>
      <w:pPr>
        <w:spacing w:after="60"/>
        <w:ind w:firstLine="567"/>
        <w:jc w:val="both"/>
      </w:pPr>
      <w:r>
        <w:rPr>
          <w:rFonts w:ascii="Arial" w:cs="Arial" w:eastAsia="Arial" w:hAnsi="Arial"/>
          <w:sz w:val="22"/>
          <w:szCs w:val="22"/>
        </w:rPr>
        <w:t xml:space="preserve">- создание торгово-логистических центров для эффективной организации движения товаров в цепочке (кластере), которые будут способствовать устойчивому сбору/сбыту сельскохозяйственной продукции, ее хранению и организации ее предоставления на дальнейшую переработку;</w:t>
      </w:r>
    </w:p>
    <w:p>
      <w:pPr>
        <w:spacing w:after="60"/>
        <w:ind w:firstLine="567"/>
        <w:jc w:val="both"/>
      </w:pPr>
      <w:r>
        <w:rPr>
          <w:rFonts w:ascii="Arial" w:cs="Arial" w:eastAsia="Arial" w:hAnsi="Arial"/>
          <w:sz w:val="22"/>
          <w:szCs w:val="22"/>
        </w:rPr>
        <w:t xml:space="preserve">- улучшение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2"/>
          <w:szCs w:val="22"/>
        </w:rPr>
        <w:t xml:space="preserve">- привлечение инвестиций для развития отрасли;</w:t>
      </w:r>
    </w:p>
    <w:p>
      <w:pPr>
        <w:spacing w:after="60"/>
        <w:ind w:firstLine="567"/>
        <w:jc w:val="both"/>
      </w:pPr>
      <w:r>
        <w:rPr>
          <w:rFonts w:ascii="Arial" w:cs="Arial" w:eastAsia="Arial" w:hAnsi="Arial"/>
          <w:sz w:val="22"/>
          <w:szCs w:val="22"/>
        </w:rPr>
        <w:t xml:space="preserve">- увеличение количества аккредитованных ветеринарных и фитосанитарных лабораторий, мясоубойных цехов.</w:t>
      </w:r>
    </w:p>
    <w:p>
      <w:pPr>
        <w:spacing w:after="60"/>
        <w:ind w:firstLine="567"/>
        <w:jc w:val="both"/>
      </w:pPr>
      <w:r>
        <w:rPr>
          <w:rFonts w:ascii="Arial" w:cs="Arial" w:eastAsia="Arial" w:hAnsi="Arial"/>
          <w:sz w:val="22"/>
          <w:szCs w:val="22"/>
        </w:rPr>
        <w:t xml:space="preserve">Основными рисками в данном секторе являются:</w:t>
      </w:r>
    </w:p>
    <w:p>
      <w:pPr>
        <w:spacing w:after="60"/>
        <w:ind w:firstLine="567"/>
        <w:jc w:val="both"/>
      </w:pPr>
      <w:r>
        <w:rPr>
          <w:rFonts w:ascii="Arial" w:cs="Arial" w:eastAsia="Arial" w:hAnsi="Arial"/>
          <w:sz w:val="22"/>
          <w:szCs w:val="22"/>
        </w:rPr>
        <w:t xml:space="preserve">- неблагоприятные природно-климатические условия;</w:t>
      </w:r>
    </w:p>
    <w:p>
      <w:pPr>
        <w:spacing w:after="60"/>
        <w:ind w:firstLine="567"/>
        <w:jc w:val="both"/>
      </w:pPr>
      <w:r>
        <w:rPr>
          <w:rFonts w:ascii="Arial" w:cs="Arial" w:eastAsia="Arial" w:hAnsi="Arial"/>
          <w:sz w:val="22"/>
          <w:szCs w:val="22"/>
        </w:rPr>
        <w:t xml:space="preserve">- сохранение или медленное преодоление барьеров в приграничной и внешней торговле;</w:t>
      </w:r>
    </w:p>
    <w:p>
      <w:pPr>
        <w:spacing w:after="60"/>
        <w:ind w:firstLine="567"/>
        <w:jc w:val="both"/>
      </w:pPr>
      <w:r>
        <w:rPr>
          <w:rFonts w:ascii="Arial" w:cs="Arial" w:eastAsia="Arial" w:hAnsi="Arial"/>
          <w:sz w:val="22"/>
          <w:szCs w:val="22"/>
        </w:rPr>
        <w:t xml:space="preserve">- дальнейшее истощение генофонда, что приведет к снижению производительности сельскохозяйственных животных;</w:t>
      </w:r>
    </w:p>
    <w:p>
      <w:pPr>
        <w:spacing w:after="60"/>
        <w:ind w:firstLine="567"/>
        <w:jc w:val="both"/>
      </w:pPr>
      <w:r>
        <w:rPr>
          <w:rFonts w:ascii="Arial" w:cs="Arial" w:eastAsia="Arial" w:hAnsi="Arial"/>
          <w:sz w:val="22"/>
          <w:szCs w:val="22"/>
        </w:rPr>
        <w:t xml:space="preserve">- повышение цен на горюче-смазочные материалы в период проведения весенне-полевых, а также уборочных работ;</w:t>
      </w:r>
    </w:p>
    <w:p>
      <w:pPr>
        <w:spacing w:after="60"/>
        <w:ind w:firstLine="567"/>
        <w:jc w:val="both"/>
      </w:pPr>
      <w:r>
        <w:rPr>
          <w:rFonts w:ascii="Arial" w:cs="Arial" w:eastAsia="Arial" w:hAnsi="Arial"/>
          <w:sz w:val="22"/>
          <w:szCs w:val="22"/>
        </w:rPr>
        <w:t xml:space="preserve">- плохое качество семенного материала при посеве, что повлияет на урожайность сельскохозяйственных культур;</w:t>
      </w:r>
    </w:p>
    <w:p>
      <w:pPr>
        <w:spacing w:after="60"/>
        <w:ind w:firstLine="567"/>
        <w:jc w:val="both"/>
      </w:pPr>
      <w:r>
        <w:rPr>
          <w:rFonts w:ascii="Arial" w:cs="Arial" w:eastAsia="Arial" w:hAnsi="Arial"/>
          <w:sz w:val="22"/>
          <w:szCs w:val="22"/>
        </w:rPr>
        <w:t xml:space="preserve">- нерациональное использование водных ресурсов при проведении ирригационных работ.</w:t>
      </w:r>
    </w:p>
    <w:p>
      <w:pPr>
        <w:spacing w:after="60" w:before="200"/>
        <w:ind w:firstLine="567"/>
        <w:jc w:val="both"/>
      </w:pPr>
      <w:r>
        <w:rPr>
          <w:rFonts w:ascii="Arial" w:cs="Arial" w:eastAsia="Arial" w:hAnsi="Arial"/>
          <w:b/>
          <w:bCs/>
          <w:sz w:val="22"/>
          <w:szCs w:val="22"/>
        </w:rPr>
        <w:t xml:space="preserve">Промышленность(11)</w:t>
      </w:r>
    </w:p>
    <w:p>
      <w:pPr>
        <w:spacing w:after="60"/>
        <w:ind w:firstLine="567"/>
        <w:jc w:val="both"/>
      </w:pPr>
      <w:r>
        <w:rPr>
          <w:rFonts w:ascii="Arial" w:cs="Arial" w:eastAsia="Arial" w:hAnsi="Arial"/>
          <w:sz w:val="22"/>
          <w:szCs w:val="22"/>
        </w:rPr>
        <w:t xml:space="preserve">Развитие промышленности является приоритетным направлением социально-экономического развития страны. Это подкреплено в ряде действующих документов развития, включая Национальную стратегию развития </w:t>
      </w:r>
      <w:r>
        <w:rPr>
          <w:rFonts w:ascii="Arial" w:cs="Arial" w:eastAsia="Arial" w:hAnsi="Arial"/>
          <w:sz w:val="22"/>
          <w:szCs w:val="22"/>
        </w:rPr>
        <w:t xml:space="preserve">Кыргызской Республики на 2018-2040 годы (Указ Президента Кыргызской Республики от 31 октября 2018 года № 221), Концепцию региональной политики Кыргызской Республики на период 2018-2022 годов (постановление Правительства Кыргызской Республики от 31 марта 2017 года № 194), Программу деятельности Правительства Кыргызской Республики (постановление Жогорку Кенеша Кыргызской Республики от 17 июня 2020 года № 3876-VI), а также Стратегию устойчивого развития промышленности на 2019-2023 годы (постановление Правительства Кыргызской Республики от 27 сентября 2019 года № 502). Кроме того, развитие промышленного производства будет осуществляться в рамках реализации Программы развития пищевой и перерабатывающей промышленности Кыргызской Республики на 2017-2021 годы и Плана мероприятий по ее реализации (постановление Правительства Кыргызской Республики от 30 марта 2017 года № 191).</w:t>
      </w:r>
    </w:p>
    <w:p>
      <w:pPr>
        <w:spacing w:after="60"/>
        <w:ind w:firstLine="567"/>
        <w:jc w:val="both"/>
      </w:pPr>
      <w:r>
        <w:rPr>
          <w:rFonts w:ascii="Arial" w:cs="Arial" w:eastAsia="Arial" w:hAnsi="Arial"/>
          <w:sz w:val="22"/>
          <w:szCs w:val="22"/>
        </w:rPr>
        <w:t xml:space="preserve">Основная цель развития промышленности - достижение </w:t>
      </w:r>
      <w:r>
        <w:rPr>
          <w:rFonts w:ascii="Arial" w:cs="Arial" w:eastAsia="Arial" w:hAnsi="Arial"/>
          <w:sz w:val="22"/>
          <w:szCs w:val="22"/>
        </w:rPr>
        <w:t xml:space="preserve">устойчивых темпов роста производства промышленной продукции на основе последовательного перехода на индустриально-инновационный путь развития, повышения эффективности производства и конкурентоспособности продукции.</w:t>
      </w:r>
    </w:p>
    <w:p>
      <w:pPr>
        <w:spacing w:after="60"/>
        <w:ind w:firstLine="567"/>
        <w:jc w:val="both"/>
      </w:pPr>
      <w:r>
        <w:rPr>
          <w:rFonts w:ascii="Arial" w:cs="Arial" w:eastAsia="Arial" w:hAnsi="Arial"/>
          <w:sz w:val="22"/>
          <w:szCs w:val="22"/>
        </w:rPr>
        <w:t xml:space="preserve">Основные направления:</w:t>
      </w:r>
    </w:p>
    <w:p>
      <w:pPr>
        <w:spacing w:after="60"/>
        <w:ind w:firstLine="567"/>
        <w:jc w:val="both"/>
      </w:pPr>
      <w:r>
        <w:rPr>
          <w:rFonts w:ascii="Arial" w:cs="Arial" w:eastAsia="Arial" w:hAnsi="Arial"/>
          <w:sz w:val="22"/>
          <w:szCs w:val="22"/>
        </w:rPr>
        <w:t xml:space="preserve">- формирование конкурентной среды, создание равных и предсказуемых условий экономической деятельности в промышленности и на конкретных рынках;</w:t>
      </w:r>
    </w:p>
    <w:p>
      <w:pPr>
        <w:spacing w:after="60"/>
        <w:ind w:firstLine="567"/>
        <w:jc w:val="both"/>
      </w:pPr>
      <w:r>
        <w:rPr>
          <w:rFonts w:ascii="Arial" w:cs="Arial" w:eastAsia="Arial" w:hAnsi="Arial"/>
          <w:sz w:val="22"/>
          <w:szCs w:val="22"/>
        </w:rPr>
        <w:t xml:space="preserve">- организационная перестройка компаний производителей промышленной продукции в целях повышения эффективности управления;</w:t>
      </w:r>
    </w:p>
    <w:p>
      <w:pPr>
        <w:spacing w:after="60"/>
        <w:ind w:firstLine="567"/>
        <w:jc w:val="both"/>
      </w:pPr>
      <w:r>
        <w:rPr>
          <w:rFonts w:ascii="Arial" w:cs="Arial" w:eastAsia="Arial" w:hAnsi="Arial"/>
          <w:sz w:val="22"/>
          <w:szCs w:val="22"/>
        </w:rPr>
        <w:t xml:space="preserve">- широкая диверсификация производства;</w:t>
      </w:r>
    </w:p>
    <w:p>
      <w:pPr>
        <w:spacing w:after="60"/>
        <w:ind w:firstLine="567"/>
        <w:jc w:val="both"/>
      </w:pPr>
      <w:r>
        <w:rPr>
          <w:rFonts w:ascii="Arial" w:cs="Arial" w:eastAsia="Arial" w:hAnsi="Arial"/>
          <w:sz w:val="22"/>
          <w:szCs w:val="22"/>
        </w:rPr>
        <w:t xml:space="preserve">- глобализация деятельности, развитие взаимовыгодных отношений с потребителями, кооперация предприятий на национальном и международном уровнях для решения возникающих сложных научно-технических и производственных проблем в более короткие сроки и с меньшими затратами;</w:t>
      </w:r>
    </w:p>
    <w:p>
      <w:pPr>
        <w:spacing w:after="60"/>
        <w:ind w:firstLine="567"/>
        <w:jc w:val="both"/>
      </w:pPr>
      <w:r>
        <w:rPr>
          <w:rFonts w:ascii="Arial" w:cs="Arial" w:eastAsia="Arial" w:hAnsi="Arial"/>
          <w:sz w:val="22"/>
          <w:szCs w:val="22"/>
        </w:rPr>
        <w:t xml:space="preserve">- обеспечение рентабельного производства и устойчивого финансового положения предприятий промышленности, обеспечение текущих и единовременных затрат на развитие производства за счет собственных средств;</w:t>
      </w:r>
    </w:p>
    <w:p>
      <w:pPr>
        <w:spacing w:after="60"/>
        <w:ind w:firstLine="567"/>
        <w:jc w:val="both"/>
      </w:pPr>
      <w:r>
        <w:rPr>
          <w:rFonts w:ascii="Arial" w:cs="Arial" w:eastAsia="Arial" w:hAnsi="Arial"/>
          <w:sz w:val="22"/>
          <w:szCs w:val="22"/>
        </w:rPr>
        <w:t xml:space="preserve">- дальнейшее совершенствование рыночных механизмов и институтов, оптимизация структуры государственного сектора при росте эффективности управления государственным имуществом.</w:t>
      </w:r>
    </w:p>
    <w:p>
      <w:pPr>
        <w:spacing w:after="60"/>
        <w:ind w:firstLine="567"/>
        <w:jc w:val="both"/>
      </w:pPr>
      <w:r>
        <w:rPr>
          <w:rFonts w:ascii="Arial" w:cs="Arial" w:eastAsia="Arial" w:hAnsi="Arial"/>
          <w:sz w:val="22"/>
          <w:szCs w:val="22"/>
        </w:rPr>
        <w:t xml:space="preserve">Промышленность в Кыргызской Республике должна стать основой социально-экономического развития страны, источником повышения уровня жизни населения с минимизацией отрицательного влияния на окружающую среду.</w:t>
      </w:r>
    </w:p>
    <w:p>
      <w:pPr>
        <w:spacing w:after="60"/>
        <w:ind w:firstLine="567"/>
        <w:jc w:val="both"/>
      </w:pPr>
      <w:r>
        <w:rPr>
          <w:rFonts w:ascii="Arial" w:cs="Arial" w:eastAsia="Arial" w:hAnsi="Arial"/>
          <w:sz w:val="22"/>
          <w:szCs w:val="22"/>
        </w:rPr>
        <w:t xml:space="preserve">Несмотря на то, что доля промышленности в ВВП Кыргызской Республики составляет всего в среднем 18%, экспорт промышленной продукции составляет более 80% общего объема экспорта страны, а объемы освоения инвестиций в данную отрасль составляют более 30% всех инвестиций в основной капитал (почти 50 млрд. сомов ежегодно). Промышленность остается важнейшей отраслью экономики с точки зрения отчислений в бюджет (налоговая нагрузка в среднем 18-19% за последние 5 лет) и обеспечения занятости, число промышленных предприятий ежегодно растет (с 1622 ед. в 2014 году до 1909 ед. в 2018 году).</w:t>
      </w:r>
    </w:p>
    <w:p>
      <w:pPr>
        <w:spacing w:after="60"/>
        <w:ind w:firstLine="567"/>
        <w:jc w:val="both"/>
      </w:pPr>
      <w:r>
        <w:rPr>
          <w:rFonts w:ascii="Arial" w:cs="Arial" w:eastAsia="Arial" w:hAnsi="Arial"/>
          <w:sz w:val="22"/>
          <w:szCs w:val="22"/>
        </w:rPr>
        <w:t xml:space="preserve">В ситуации, когда во многих странах были применены меры ограничения передвижения товаров через границы, связанные с распространением коронавирусной инфекции, большая часть отраслей экономики, производящих товары, частично прекратила свою деятельность в период чрезвычайной ситуации из-за отсутствия комплектующих или сырья. В этой связи импортозамещение будет самой актуальной мерой для снижения зависимости от импорта, особенно в сфере продовольственной безопасности и производства комплектующих товаров и фурнитуры. Работа будет направлена на то, чтобы большую часть необходимых товаров производить в стране, для этого планируется разработка совместной льготной программы с Российско-Кыргызским Фондом развития.</w:t>
      </w:r>
    </w:p>
    <w:p>
      <w:pPr>
        <w:spacing w:after="60"/>
        <w:ind w:firstLine="567"/>
        <w:jc w:val="both"/>
      </w:pPr>
      <w:r>
        <w:rPr>
          <w:rFonts w:ascii="Arial" w:cs="Arial" w:eastAsia="Arial" w:hAnsi="Arial"/>
          <w:sz w:val="22"/>
          <w:szCs w:val="22"/>
        </w:rPr>
        <w:t xml:space="preserve">Ключевыми направлениями развития должны стать высокотехнологичные сферы, опирающиеся, в первую очередь, на информационные технологии и искусственный интеллект, нано- и биоинженерные технологии, цифровую трансформацию. При этом, в настоящее время фактический износ основных фондов по высокотехнологичным видам экономической деятельности приблизился в среднем к 50% (2017 год - 49,7%, 2018 год - 51,4%), а в отдельных отраслях - превышает этот уровень. В то же время имеется существенный потенциал, связанный, в первую очередь, с использованием недозагруженных производственных мощностей, которые также должны сопровождаться их качественным технологическим обновлением.</w:t>
      </w:r>
    </w:p>
    <w:p>
      <w:pPr>
        <w:spacing w:after="60"/>
        <w:ind w:firstLine="567"/>
        <w:jc w:val="both"/>
      </w:pPr>
      <w:r>
        <w:rPr>
          <w:rFonts w:ascii="Arial" w:cs="Arial" w:eastAsia="Arial" w:hAnsi="Arial"/>
          <w:sz w:val="22"/>
          <w:szCs w:val="22"/>
        </w:rPr>
        <w:t xml:space="preserve">Увеличение среднего уровня использования производственных мощностей в обрабатывающей промышленности на 10% оценочно может привести к увеличению темпов роста объемов промышленного производства на 6-10 процентных пунктов.</w:t>
      </w:r>
    </w:p>
    <w:p>
      <w:pPr>
        <w:spacing w:after="60"/>
        <w:ind w:firstLine="567"/>
        <w:jc w:val="both"/>
      </w:pPr>
      <w:r>
        <w:rPr>
          <w:rFonts w:ascii="Arial" w:cs="Arial" w:eastAsia="Arial" w:hAnsi="Arial"/>
          <w:sz w:val="22"/>
          <w:szCs w:val="22"/>
        </w:rPr>
        <w:t xml:space="preserve">После ожидаемого снижения объемов промышленной продукции в 2020 году, учитывая предпринимаемые меры по формированию комплекса мер по предупреждению и предотвращению распространения коронавирусной инфекции, на 2021 год прогнозируется постепенное восстановление производства товаров инвестиционного спроса.</w:t>
      </w:r>
    </w:p>
    <w:p>
      <w:pPr>
        <w:spacing w:after="60"/>
        <w:ind w:firstLine="567"/>
        <w:jc w:val="both"/>
      </w:pPr>
      <w:r>
        <w:rPr>
          <w:rFonts w:ascii="Arial" w:cs="Arial" w:eastAsia="Arial" w:hAnsi="Arial"/>
          <w:sz w:val="22"/>
          <w:szCs w:val="22"/>
        </w:rPr>
        <w:t xml:space="preserve">Устойчивая позиция сохранится в секторах: топливно-энергетическом комплексе, металлургии, добычи полезных ископаемых. Развитие производства основных металлов будет активизировано за счет ввода в эксплуатацию новых месторождений Джеруй и Чаарат.</w:t>
      </w:r>
    </w:p>
    <w:p>
      <w:pPr>
        <w:spacing w:after="60"/>
        <w:ind w:firstLine="567"/>
        <w:jc w:val="both"/>
      </w:pPr>
      <w:r>
        <w:rPr>
          <w:rFonts w:ascii="Arial" w:cs="Arial" w:eastAsia="Arial" w:hAnsi="Arial"/>
          <w:sz w:val="22"/>
          <w:szCs w:val="22"/>
        </w:rPr>
        <w:t xml:space="preserve">Реализация государственных инфраструктурных проектов будет обеспечивать спрос на услуги строительного сектора, что позволит увеличить производство строительных материалом. Рост в производстве пищевых продуктов продолжится высокими темпами с учетом продолжения реализации программы импортозамещения и развития отечественных производственных мощностей. Позитивная динамика также прогнозируется в отраслях легкой промышленности в связи с восстановлением спроса. Основными направлениями работы по развитию текстильного и швейного производства будет создание технополиса и кластеров легкой промышленности в регионах страны с объединением производителей сырья и готовой продукции. Создание двух индустриальных технополисов с полным циклом производства и сбыта швейной продукции позволит создать новые рабочие места.</w:t>
      </w:r>
    </w:p>
    <w:p>
      <w:pPr>
        <w:spacing w:after="60"/>
        <w:ind w:firstLine="567"/>
        <w:jc w:val="both"/>
      </w:pPr>
      <w:r>
        <w:rPr>
          <w:rFonts w:ascii="Arial" w:cs="Arial" w:eastAsia="Arial" w:hAnsi="Arial"/>
          <w:sz w:val="22"/>
          <w:szCs w:val="22"/>
        </w:rPr>
        <w:t xml:space="preserve">В нефтеперерабатывающем производстве работа будет направлена на привлечение финансовых ресурсов для модернизации отечественных нефтеперерабатывающих предприятий по переходу на производство топлива высоких экологических стандартов качества (К4, К5).</w:t>
      </w:r>
    </w:p>
    <w:p>
      <w:pPr>
        <w:spacing w:after="60"/>
        <w:ind w:firstLine="567"/>
        <w:jc w:val="both"/>
      </w:pPr>
      <w:r>
        <w:rPr>
          <w:rFonts w:ascii="Arial" w:cs="Arial" w:eastAsia="Arial" w:hAnsi="Arial"/>
          <w:sz w:val="22"/>
          <w:szCs w:val="22"/>
        </w:rPr>
        <w:t xml:space="preserve">Приоритетным направлением работы в промышленном производстве будет создание сборочных производств, привлечение инвестиций в модернизацию действующих и восстановление деятельности простаивающих предприятий, ориентированных на экспорт и/или импортозамещение промышленной продукции. Будут запущены инвестиционные проекты: машиностроительный завод "Кыргыз унаа курулуш" в городе Ош, построенный в соответствии с современными требованиями и стандартами и оснащенный высокотехнологичным оборудованием, завод "Металл-Кен" по производству и переработке основных металлов и готовых металлических изделий в городе Каинды.</w:t>
      </w:r>
    </w:p>
    <w:p>
      <w:pPr>
        <w:spacing w:after="60"/>
        <w:ind w:firstLine="567"/>
        <w:jc w:val="both"/>
      </w:pPr>
      <w:r>
        <w:rPr>
          <w:rFonts w:ascii="Arial" w:cs="Arial" w:eastAsia="Arial" w:hAnsi="Arial"/>
          <w:sz w:val="22"/>
          <w:szCs w:val="22"/>
        </w:rPr>
        <w:t xml:space="preserve">В целях обеспечения энергетической безопасности Кыргызской Республики, устойчивого развития, а также стабильного и надежного функционирования энергетической отрасли страны будут проведены реформы системы управления энергетическим сектором, в том числе по улучшению прозрачности в энергосекторе, будет создан расчетный центр, ориентированный на фиксирование объема потерь в сфере энергетики и других важных показателей.</w:t>
      </w:r>
    </w:p>
    <w:p>
      <w:pPr>
        <w:spacing w:after="60"/>
        <w:ind w:firstLine="567"/>
        <w:jc w:val="both"/>
      </w:pPr>
      <w:r>
        <w:rPr>
          <w:rFonts w:ascii="Arial" w:cs="Arial" w:eastAsia="Arial" w:hAnsi="Arial"/>
          <w:sz w:val="22"/>
          <w:szCs w:val="22"/>
        </w:rPr>
        <w:t xml:space="preserve">В последние годы в связи с возрождением промышленности, активизацией деятельности строительного сектора с преобладанием возведения многоэтажных жилых домов и жилых массивов, развитием инфраструктуры малого и среднего бизнеса, социальных и бытовых городских объектов, существенно повысилось и продолжает расти из года в год потребление электроэнергии. В этой связи планируется создание уровня резерва установленных мощностей (ГЭС) и общей установленной электрической мощности энергосистемы выше кризисных пороговых значений (0,65-0,85) и доведение до базового значения 1,15 путем поэтапной реализации ряда проектов по строительству крупных и малых ГЭС, являющихся экологически чистыми источниками энергии. На первом этапе (2021-2025 гг.) в результате завершения всех трех фаз по реабилитации Токтогульской ГЭС, включая замену четырех гидроагрегатов в 2023 году, ожидается прирост мощностей на 240 МВт, с продлением срока эксплуатации еще на 35-40 лет. К 2022 году завершится реконструкция Ат-Башинской ГЭС, с увеличением мощности на 4 МВт. Намечается ввод второго агрегата Камбаратинской ГЭС-2, с приростом мощности на 120 МВт. Работы по реабилитации Уч-Курганской ГЭС позволят повысить качество и надежность электроснабжения в энергосистеме, с увеличением мощности к 2025 году на 30 МВт. Развитие малых ГЭС предусматривается путем их строительства в 2021-2023 гг. в первую очередь при действующих водохранилищах: Кировском - 21 МВт, Торткульском - 3 МВт, Орто-Токойском - 21 МВт, Кара-Кульском - 18 МВт.</w:t>
      </w:r>
    </w:p>
    <w:p>
      <w:pPr>
        <w:spacing w:after="60"/>
        <w:ind w:firstLine="567"/>
        <w:jc w:val="both"/>
      </w:pPr>
      <w:r>
        <w:rPr>
          <w:rFonts w:ascii="Arial" w:cs="Arial" w:eastAsia="Arial" w:hAnsi="Arial"/>
          <w:sz w:val="22"/>
          <w:szCs w:val="22"/>
        </w:rPr>
        <w:t xml:space="preserve">На первом этапе (2021-2025 гг.) дальнейшее развитие электрических сетей в направлении Южной Азии через энергосистему Республики Таджикистан будет осуществляться через строительство линии электропередачи 500 кВ "Датка-Сугд" в рамках проекта CASA-1000 по созданию рынка электроэнергии между Центральной и Южной Азией.</w:t>
      </w:r>
    </w:p>
    <w:p>
      <w:pPr>
        <w:spacing w:after="60"/>
        <w:ind w:firstLine="567"/>
        <w:jc w:val="both"/>
      </w:pPr>
      <w:r>
        <w:rPr>
          <w:rFonts w:ascii="Arial" w:cs="Arial" w:eastAsia="Arial" w:hAnsi="Arial"/>
          <w:sz w:val="22"/>
          <w:szCs w:val="22"/>
        </w:rPr>
        <w:t xml:space="preserve">Предусматривается масштабная реконструкция и модернизация газотранспортных маршрутов Кыргызской Республики, а также объектов подземного хранения и распределения газа в рамках Генеральной схемы газоснабжения и газификации Кыргызской Республики до 2030 года ОсОО "Газпром Кыргызстан". В рамках Генеральной схемы будут созданы мощности для автономной газификации отдельных районов страны. Газификация регионов республики совместно с увеличением добычи угля позволит диверсифицировать топливно-энергетический баланс, уменьшить зависимость республики от одного источника энергии, сократить нагрузку на электрические сети в зимний период.</w:t>
      </w:r>
    </w:p>
    <w:p>
      <w:pPr>
        <w:spacing w:after="60"/>
        <w:ind w:firstLine="567"/>
        <w:jc w:val="both"/>
      </w:pPr>
      <w:r>
        <w:rPr>
          <w:rFonts w:ascii="Arial" w:cs="Arial" w:eastAsia="Arial" w:hAnsi="Arial"/>
          <w:sz w:val="22"/>
          <w:szCs w:val="22"/>
        </w:rPr>
        <w:t xml:space="preserve">В общем объеме промышленной продукции семь отраслей являются экономикообразующими. В их числе: производство основных металлов и пищепереработка, текстильное и швейное производство, производство прочих неметаллических минеральных продуктов, нефтепродуктов, добыча металлических руд и энергетика. В совокупности, указанные отрасли выпускают почти 90%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2"/>
          <w:szCs w:val="22"/>
        </w:rPr>
        <w:t xml:space="preserve">В промышленности на 2021 год прогнозируется реальный рост валового объема производства на 3,4%. Без учета предприятий по разработке месторождения Кумтор, реальный прирост промышленного производства прогнозируется на уровне 9,6%.</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7</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Динамика темпов роста в отраслях промышленности,
 в процентах к предыдущему году(11)</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98"/>
        <w:gridCol w:w="1490"/>
        <w:gridCol w:w="1490"/>
      </w:tblGrid>
      <w:tr>
        <w:tc>
          <w:tcPr>
            <w:tcW w:type="dxa" w:w="719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r>
      <w:tr>
        <w:tc>
          <w:tcPr>
            <w:vMerge w:val="continue"/>
            <w:tcBorders>
              <w:top w:val="single" w:color="CBBF9E" w:sz="4"/>
              <w:left w:val="single" w:color="CBBF9E" w:sz="4"/>
              <w:bottom w:val="single" w:color="CBBF9E" w:sz="4"/>
              <w:right w:val="single" w:color="CBBF9E" w:sz="4"/>
            </w:tcBorders>
          </w:tcP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Промышленность, всего</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95,3</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103,4</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добыча полезных ископаемых</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обрабатывающие производства</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обеспечение (снабжение) электроэнергией, газом, паром и кондиционированным воздухом</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водоснабжение, очистка, обработка отходов и получение вторичного сырья</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bl>
    <w:p>
      <w:pPr>
        <w:spacing w:after="60" w:before="120"/>
        <w:ind w:firstLine="567"/>
        <w:jc w:val="both"/>
      </w:pPr>
      <w:r>
        <w:rPr>
          <w:rFonts w:ascii="Arial" w:cs="Arial" w:eastAsia="Arial" w:hAnsi="Arial"/>
          <w:sz w:val="22"/>
          <w:szCs w:val="22"/>
        </w:rPr>
        <w:t xml:space="preserve">В целом вклад промышленности в рост ВВП составит 0,7 процентного пункта, с удельным весом в объеме ВВП 17,8%.</w:t>
      </w:r>
    </w:p>
    <w:p>
      <w:pPr>
        <w:spacing w:after="60"/>
        <w:ind w:firstLine="567"/>
        <w:jc w:val="both"/>
      </w:pPr>
      <w:r>
        <w:rPr>
          <w:rFonts w:ascii="Arial" w:cs="Arial" w:eastAsia="Arial" w:hAnsi="Arial"/>
          <w:sz w:val="22"/>
          <w:szCs w:val="22"/>
        </w:rPr>
        <w:t xml:space="preserve">1) В обрабатывающем производстве, с самым высоким удельным весом (77,9%) в производстве промышленной продукции, в 2021 году прогнозируется реальный рост на 3,2%, который обусловлен, в основном, за счет:</w:t>
      </w:r>
    </w:p>
    <w:p>
      <w:pPr>
        <w:spacing w:after="60"/>
        <w:ind w:firstLine="567"/>
        <w:jc w:val="both"/>
      </w:pPr>
      <w:r>
        <w:rPr>
          <w:rFonts w:ascii="Arial" w:cs="Arial" w:eastAsia="Arial" w:hAnsi="Arial"/>
          <w:sz w:val="22"/>
          <w:szCs w:val="22"/>
        </w:rPr>
        <w:t xml:space="preserve">- реального роста производства продуктов (включая напитки) (удельный вес в общем объеме промышленности 11,9%), где прогнозируется прирост в 4,0% за счет устойчивой работы предприятий по производству хлеба, муки, молочных и мясных продуктов и других продуктов питания, на которые наблюдается стабильный спрос;</w:t>
      </w:r>
    </w:p>
    <w:p>
      <w:pPr>
        <w:spacing w:after="60"/>
        <w:ind w:firstLine="567"/>
        <w:jc w:val="both"/>
      </w:pPr>
      <w:r>
        <w:rPr>
          <w:rFonts w:ascii="Arial" w:cs="Arial" w:eastAsia="Arial" w:hAnsi="Arial"/>
          <w:sz w:val="22"/>
          <w:szCs w:val="22"/>
        </w:rPr>
        <w:t xml:space="preserve">- роста объемов текстильного производства; производства одежды и обуви, кожи и прочих кожаных изделий (удельный вес в общем объеме промышленности - 3,5%) на 6,5% за счет швейной и текстильной отраслей, в связи с освоением новых рынков сбыта, запуском новых предприятий и увеличением экспортных поставок. В текстильной отрасли рост производства будет обеспечен за счет деятельности ОсОО "Фая текстиль" (СЭЗ "Бишкек") и ОсОО "Текстиль Транс" (город Токмок), которые ориентированы на поставку трикотажных хлопчатобумажных изделий в сеть магазинов "Абсолют" Российской Федерации. Планируется наращивание объемов производства на ОсОО "Cool Bro's" (Сокулукский район, Чуйская область) за счет запущенных дополнительных производственных мощностей по производству трикотажных изделий, на ОсОО "Империал Групп Компани" по выпуску военной и специальной рабочей обуви, предприятие участвует в тендерах по размещению заказов на военную и специальную обувь. Будет запущена работа двух швейных предприятий на промышленных объектах ОсОО "Кыргыз Текстиль ЛТД" в городе Ош. Необходимо проработать вопрос о выделении дополнительных мощностей электроэнергии без отключений и с правом использования электроэнергии в целях отопления и электрообогрева (порядка 4000 кВт) для швейного производства. Начаты мероприятия по реализации проекта ОсОО "Индустриальный парк "Силк Вей" в Чуйской области. Строительство индустриального парка будет осуществляться собственными средствами;</w:t>
      </w:r>
    </w:p>
    <w:p>
      <w:pPr>
        <w:spacing w:after="60"/>
        <w:ind w:firstLine="567"/>
        <w:jc w:val="both"/>
      </w:pPr>
      <w:r>
        <w:rPr>
          <w:rFonts w:ascii="Arial" w:cs="Arial" w:eastAsia="Arial" w:hAnsi="Arial"/>
          <w:sz w:val="22"/>
          <w:szCs w:val="22"/>
        </w:rPr>
        <w:t xml:space="preserve">- прироста производства строительных материалов на 2,5% за счет устойчивой производственной деятельности ОАО "Интергласс", ОАО "Кантский цементный завод", ЗАО "Южно-Кыргызский Цемент", ОАО "Таш-Темир" (железобетонный завод), ОАО "Бишкекский завод ЖБИ", ОАО "Кум-Шагыл" (завод железобетонных изделий), ОсОО "Кантское трубно-шиферное производство", а также увеличения объемов производства цемента за счет вновь введенных предприятий (цементный завод ОсОО "Син-Дзи-Прим"; наращивания объемов на ОсОО "Южный комбинат строительных материалов"), планируемого к запуску в конце 2020 года Таш-Кумырского цементного завода ОсОО "Шамшыкал-Ата" (Джалал-Абадская область), мощностью 1300 тыс. тонн цемента/год и полной реализации инвестиционных проектов в строительстве;</w:t>
      </w:r>
    </w:p>
    <w:p>
      <w:pPr>
        <w:spacing w:after="60"/>
        <w:ind w:firstLine="567"/>
        <w:jc w:val="both"/>
      </w:pPr>
      <w:r>
        <w:rPr>
          <w:rFonts w:ascii="Arial" w:cs="Arial" w:eastAsia="Arial" w:hAnsi="Arial"/>
          <w:sz w:val="22"/>
          <w:szCs w:val="22"/>
        </w:rPr>
        <w:t xml:space="preserve">- роста производства основных металлов в целом на 2,2%, где прогнозируется, что уровень сокращения добычи металла на месторождении Кумтор будет компенсирован за счет объемов производства ОсОО "Альянс Алтын", запускаемого в 2020 году проекта "Джеруй", где предприятием запланировано производство металла в объеме более 4,0 тонн.</w:t>
      </w:r>
    </w:p>
    <w:p>
      <w:pPr>
        <w:spacing w:after="60"/>
        <w:ind w:firstLine="567"/>
        <w:jc w:val="both"/>
      </w:pPr>
      <w:r>
        <w:rPr>
          <w:rFonts w:ascii="Arial" w:cs="Arial" w:eastAsia="Arial" w:hAnsi="Arial"/>
          <w:sz w:val="22"/>
          <w:szCs w:val="22"/>
        </w:rPr>
        <w:t xml:space="preserve">В 2021 году запланирован запуск деятельности ЗАО "Чаарат Заав" (месторождение Чаарат в Джалал-Абадской области). В настоящее время оно находится на стадии разведки и разработки месторождения, добычу руды планируется начать во второй половине 2021 года, а выпуск готовой продукции (сплав Доре) прогнозируется с 2022 года.</w:t>
      </w:r>
    </w:p>
    <w:p>
      <w:pPr>
        <w:spacing w:after="60"/>
        <w:ind w:firstLine="567"/>
        <w:jc w:val="both"/>
      </w:pPr>
      <w:r>
        <w:rPr>
          <w:rFonts w:ascii="Arial" w:cs="Arial" w:eastAsia="Arial" w:hAnsi="Arial"/>
          <w:sz w:val="22"/>
          <w:szCs w:val="22"/>
        </w:rPr>
        <w:t xml:space="preserve">На месторождении Кумтор, согласно производственному плану предприятия, прогнозируется снижение объемов производства на 4,3% по сравнению с 2020 годом, где объем производства основных металлов прогнозируется в 2021 году в количестве 517,0 тыс. унций (16,08 т), в основном, обусловленное освоением зоны с низким содержанием золота в руде (удельный вес данного производства в общем объеме промышленности составляет 20,8%).</w:t>
      </w:r>
    </w:p>
    <w:p>
      <w:pPr>
        <w:spacing w:after="60"/>
        <w:ind w:firstLine="567"/>
        <w:jc w:val="both"/>
      </w:pPr>
      <w:r>
        <w:rPr>
          <w:rFonts w:ascii="Arial" w:cs="Arial" w:eastAsia="Arial" w:hAnsi="Arial"/>
          <w:sz w:val="22"/>
          <w:szCs w:val="22"/>
        </w:rPr>
        <w:t xml:space="preserve">Кроме того, запланировано снижение объема производства металла на месторождении Талды-Булак Левобережный (ОсОО "Алтынкен") на 19% за счет выхода на зоны с низким содержанием золота в руде (производство 3126,3 кг сплава Доре, против ожидаемого в 2020 году 3870,0 кг).</w:t>
      </w:r>
    </w:p>
    <w:p>
      <w:pPr>
        <w:spacing w:after="60"/>
        <w:ind w:firstLine="567"/>
        <w:jc w:val="both"/>
      </w:pPr>
      <w:r>
        <w:rPr>
          <w:rFonts w:ascii="Arial" w:cs="Arial" w:eastAsia="Arial" w:hAnsi="Arial"/>
          <w:sz w:val="22"/>
          <w:szCs w:val="22"/>
        </w:rPr>
        <w:t xml:space="preserve">Начиная с 2021 года прогнозируется консервация производства объемов ОАО "Кыргызалтын". За последние годы наблюдается устойчивое снижение объемов добычи по сравнению с 2013 годом, когда был обеспечен наибольший объем добычи золота. Это связано с истощением детально разведанных промышленных запасов золота на месторождении Макмал, где полностью отработаны запасы, сосредоточенные на горизонтах штолен № 6 и 11. В период с 2021 по 2023 годы ОАО "Кыргызалтын" не планирует производство в связи с тем, что идут работы по созданию совместного предприятия с инвестором на базе филиала "Комбинат Макмалзолото" (осуществляется процедура передачи активов ОАО "Кыргызалтын" филиала "Комбинат Макмалзолото" в уставный капитал совместного акционерного общества для реализации проекта ОсОО "Макмал Голд Компани");</w:t>
      </w:r>
    </w:p>
    <w:p>
      <w:pPr>
        <w:spacing w:after="60"/>
        <w:ind w:firstLine="567"/>
        <w:jc w:val="both"/>
      </w:pPr>
      <w:r>
        <w:rPr>
          <w:rFonts w:ascii="Arial" w:cs="Arial" w:eastAsia="Arial" w:hAnsi="Arial"/>
          <w:sz w:val="22"/>
          <w:szCs w:val="22"/>
        </w:rPr>
        <w:t xml:space="preserve">- наращивания объемов производства НПЗ "Джунда", Токмакского НПЗ, Джалал-Абадского НПЗ за счет освоения их производственной мощности, где прогнозируется рост на 32,4%. В целях снижения углеродоемкости от использования нефтепродуктов, а также согласно Техническому регламенту Таможенного Союза "О требованиях к автомобильному и авиационному бензину, дизельному и судовому топливу, топливу для реактивных двигателей и мазуту", необходимо будет привлечение инвестиций для реконструкции действующих НПЗ в связи с переходом на выпуск нефтепродуктов экологических стандартов К-4 и К-5;</w:t>
      </w:r>
    </w:p>
    <w:p>
      <w:pPr>
        <w:spacing w:after="60"/>
        <w:ind w:firstLine="567"/>
        <w:jc w:val="both"/>
      </w:pPr>
      <w:r>
        <w:rPr>
          <w:rFonts w:ascii="Arial" w:cs="Arial" w:eastAsia="Arial" w:hAnsi="Arial"/>
          <w:sz w:val="22"/>
          <w:szCs w:val="22"/>
        </w:rPr>
        <w:t xml:space="preserve">- увеличения производства фармацевтической продукции на 8,5% за счет устойчивой работы ОсОО "Биовит" (с.Сокулук) и ОсОО "Лима-Фарма", специализирующихся на производстве перевязочных материалов (бинтов). Кроме того, запланировано наращивание объемов производства филиала южнокорейского завода по производству медицинских изделий "</w:t>
      </w:r>
      <w:r>
        <w:rPr>
          <w:rFonts w:ascii="Arial" w:cs="Arial" w:eastAsia="Arial" w:hAnsi="Arial"/>
          <w:sz w:val="22"/>
          <w:szCs w:val="22"/>
        </w:rPr>
        <w:t xml:space="preserve">BK</w:t>
      </w:r>
      <w:r>
        <w:rPr>
          <w:rFonts w:ascii="Arial" w:cs="Arial" w:eastAsia="Arial" w:hAnsi="Arial"/>
          <w:sz w:val="22"/>
          <w:szCs w:val="22"/>
        </w:rPr>
        <w:t xml:space="preserve"> MEDICARE", запущенного в 2019 году. Завод по производству медицинских изделий открыт с привлечением инвестиций корейских бизнесменов на сумму 1,5 млн. долл. США. У компании "</w:t>
      </w:r>
      <w:r>
        <w:rPr>
          <w:rFonts w:ascii="Arial" w:cs="Arial" w:eastAsia="Arial" w:hAnsi="Arial"/>
          <w:sz w:val="22"/>
          <w:szCs w:val="22"/>
        </w:rPr>
        <w:t xml:space="preserve">BK</w:t>
      </w:r>
      <w:r>
        <w:rPr>
          <w:rFonts w:ascii="Arial" w:cs="Arial" w:eastAsia="Arial" w:hAnsi="Arial"/>
          <w:sz w:val="22"/>
          <w:szCs w:val="22"/>
        </w:rPr>
        <w:t xml:space="preserve"> MEDICARE" существует хорошая возможность и перспектива вхождения на фармацевтический рынок Евразийского экономического союза. На основе современного производственного оборудования планируется ежегодное производство более 180 млн. медицинских пластырей различного назначения;</w:t>
      </w:r>
    </w:p>
    <w:p>
      <w:pPr>
        <w:spacing w:after="60"/>
        <w:ind w:firstLine="567"/>
        <w:jc w:val="both"/>
      </w:pPr>
      <w:r>
        <w:rPr>
          <w:rFonts w:ascii="Arial" w:cs="Arial" w:eastAsia="Arial" w:hAnsi="Arial"/>
          <w:sz w:val="22"/>
          <w:szCs w:val="22"/>
        </w:rPr>
        <w:t xml:space="preserve">- устойчивой работы предприятий по производству резиновых и пластмассовых изделий (на 4,4%), деревянных и бумажных изделий; полиграфической деятельности (на 2,2%), компьютеров, электронного и оптического оборудования (на 2,0%) и т.д.</w:t>
      </w:r>
    </w:p>
    <w:p>
      <w:pPr>
        <w:spacing w:after="60"/>
        <w:ind w:firstLine="567"/>
        <w:jc w:val="both"/>
      </w:pPr>
      <w:r>
        <w:rPr>
          <w:rFonts w:ascii="Arial" w:cs="Arial" w:eastAsia="Arial" w:hAnsi="Arial"/>
          <w:sz w:val="22"/>
          <w:szCs w:val="22"/>
        </w:rPr>
        <w:t xml:space="preserve">2) В добыче полезных ископаемых (удельный вес 7,7% в объеме промышленного производства) в 2021 году прирост объема производства прогнозируется на уровне 5,3%, в том числе добыча каменного и бурого угля увеличится на 2,5%, металлических руд - на 6,8%, сырой нефти и природного газа - на 4,3%.</w:t>
      </w:r>
    </w:p>
    <w:p>
      <w:pPr>
        <w:spacing w:after="60"/>
        <w:ind w:firstLine="567"/>
        <w:jc w:val="both"/>
      </w:pPr>
      <w:r>
        <w:rPr>
          <w:rFonts w:ascii="Arial" w:cs="Arial" w:eastAsia="Arial" w:hAnsi="Arial"/>
          <w:sz w:val="22"/>
          <w:szCs w:val="22"/>
        </w:rPr>
        <w:t xml:space="preserve">Объем производства в угольной отрасли прогнозируется за счет повышения обеспеченности потребности страны в энергоносителях собственным твердым топливом, в том числе ТЭЦ города Бишкек, а также коммунально-бытового сектора, за счет увеличения добычи угля. Развитие угольной отрасли учитывает сложившуюся ситуацию на внутреннем рынке истребления угля, реальное состояние производственных мощностей действующих предприятий, без учета модернизации изношенного на 90% оборудования, увеличение добычи угля обеспечивается за счет собственных средств предприятий.</w:t>
      </w:r>
    </w:p>
    <w:p>
      <w:pPr>
        <w:spacing w:after="60"/>
        <w:ind w:firstLine="567"/>
        <w:jc w:val="both"/>
      </w:pPr>
      <w:r>
        <w:rPr>
          <w:rFonts w:ascii="Arial" w:cs="Arial" w:eastAsia="Arial" w:hAnsi="Arial"/>
          <w:sz w:val="22"/>
          <w:szCs w:val="22"/>
        </w:rPr>
        <w:t xml:space="preserve">На первом этапе (2021-2025 гг.) возможен рост добычи угля до 3,2 млн. т к 2025 году за счет разработки месторождения Кара-Кече в Кавакском бассейне - 1,6 млн. т к 2025 году; в Иссык-Кульском бассейне - по 20 тыс. т вплоть до 2025 года; в Южно-Ферганском бассейне - от 248 тыс. т до 265 тыс. т - к 2025 году; в Алайском бассейне на месторождении Кызыл-Булак - 300 тыс. т на протяжении всего периода; в Северо-Ферганском каменноугольном бассейне - от 140 тыс. т до 180-200 тыс. т к 2025 году.</w:t>
      </w:r>
    </w:p>
    <w:p>
      <w:pPr>
        <w:spacing w:after="60"/>
        <w:ind w:firstLine="567"/>
        <w:jc w:val="both"/>
      </w:pPr>
      <w:r>
        <w:rPr>
          <w:rFonts w:ascii="Arial" w:cs="Arial" w:eastAsia="Arial" w:hAnsi="Arial"/>
          <w:sz w:val="22"/>
          <w:szCs w:val="22"/>
        </w:rPr>
        <w:t xml:space="preserve">В нефтегазовой отрасли для обеспечения ресурсами предусматривается повышение эффективности и надежности системы газоснабжения Кыргызской Республики в разрезе регионов, а также обеспечение наметившего темпа роста добычи нефти и принятие мер по ее увеличению, ежегодное введение новых скважин, проведение геологоразведочных работ на перспективных разведочных площадях, решение проблемы поставки сырой нефти из государств - членов ЕАЭС на действующие НПЗ.</w:t>
      </w:r>
    </w:p>
    <w:p>
      <w:pPr>
        <w:spacing w:after="60"/>
        <w:ind w:firstLine="567"/>
        <w:jc w:val="both"/>
      </w:pPr>
      <w:r>
        <w:rPr>
          <w:rFonts w:ascii="Arial" w:cs="Arial" w:eastAsia="Arial" w:hAnsi="Arial"/>
          <w:sz w:val="22"/>
          <w:szCs w:val="22"/>
        </w:rPr>
        <w:t xml:space="preserve">Добыча нефти по прогнозу возрастет с 236,4 тыс. т в 2019 году до 250,0 тыс. т в 2021 году, что позволит загрузить мощности Джалал-Абадского НПЗ. Для НПЗ "Джунда", Токмокского и Кантского необходимо обеспечить импорт сырой нефти.</w:t>
      </w:r>
    </w:p>
    <w:p>
      <w:pPr>
        <w:spacing w:after="60"/>
        <w:ind w:firstLine="567"/>
        <w:jc w:val="both"/>
      </w:pPr>
      <w:r>
        <w:rPr>
          <w:rFonts w:ascii="Arial" w:cs="Arial" w:eastAsia="Arial" w:hAnsi="Arial"/>
          <w:sz w:val="22"/>
          <w:szCs w:val="22"/>
        </w:rPr>
        <w:t xml:space="preserve">Прогнозируется увеличение добычи природного газа на существующих месторождениях на 8% по сравнению с ожидаемым уровнем 2020 года. Обеспечение газом регионов и городов ОсОО "Газпром-Кыргызстан" прогнозируется за счет увеличения импорта природного газа с 304 млн. м</w:t>
      </w:r>
      <w:r>
        <w:rPr>
          <w:rFonts w:ascii="Arial" w:cs="Arial" w:eastAsia="Arial" w:hAnsi="Arial"/>
          <w:sz w:val="22"/>
          <w:szCs w:val="22"/>
        </w:rPr>
        <w:t xml:space="preserve">3</w:t>
      </w:r>
      <w:r>
        <w:rPr>
          <w:rFonts w:ascii="Arial" w:cs="Arial" w:eastAsia="Arial" w:hAnsi="Arial"/>
          <w:sz w:val="22"/>
          <w:szCs w:val="22"/>
        </w:rPr>
        <w:t xml:space="preserve"> в 2019 году до 393,3 млн. м</w:t>
      </w:r>
      <w:r>
        <w:rPr>
          <w:rFonts w:ascii="Arial" w:cs="Arial" w:eastAsia="Arial" w:hAnsi="Arial"/>
          <w:sz w:val="22"/>
          <w:szCs w:val="22"/>
        </w:rPr>
        <w:t xml:space="preserve">3</w:t>
      </w:r>
      <w:r>
        <w:rPr>
          <w:rFonts w:ascii="Arial" w:cs="Arial" w:eastAsia="Arial" w:hAnsi="Arial"/>
          <w:sz w:val="22"/>
          <w:szCs w:val="22"/>
        </w:rPr>
        <w:t xml:space="preserve"> в 2021 году в соответствии с уточненной Генеральной схемой газоснабжения и газификации населенных пунктов по регионам Кыргызской Республики на период до 2030 года.</w:t>
      </w:r>
    </w:p>
    <w:p>
      <w:pPr>
        <w:spacing w:after="60"/>
        <w:ind w:firstLine="567"/>
        <w:jc w:val="both"/>
      </w:pPr>
      <w:r>
        <w:rPr>
          <w:rFonts w:ascii="Arial" w:cs="Arial" w:eastAsia="Arial" w:hAnsi="Arial"/>
          <w:sz w:val="22"/>
          <w:szCs w:val="22"/>
        </w:rPr>
        <w:t xml:space="preserve">Увеличение объемов добычи металлических руд прогнозируется за счет наращивания объемов добычи руды на месторождениях Бозымчак, Иштамберди, Кара-Казык, Жамгыр.</w:t>
      </w:r>
    </w:p>
    <w:p>
      <w:pPr>
        <w:spacing w:after="60"/>
        <w:ind w:firstLine="567"/>
        <w:jc w:val="both"/>
      </w:pPr>
      <w:r>
        <w:rPr>
          <w:rFonts w:ascii="Arial" w:cs="Arial" w:eastAsia="Arial" w:hAnsi="Arial"/>
          <w:sz w:val="22"/>
          <w:szCs w:val="22"/>
        </w:rPr>
        <w:t xml:space="preserve">3) В обеспечении (снабжении) электроэнергией, газом, паром и кондиционированным воздухом (удельный вес 13,3%) на 2021 год прогнозируется прирост объемов на 3,0%.</w:t>
      </w:r>
    </w:p>
    <w:p>
      <w:pPr>
        <w:spacing w:after="60"/>
        <w:ind w:firstLine="567"/>
        <w:jc w:val="both"/>
      </w:pPr>
      <w:r>
        <w:rPr>
          <w:rFonts w:ascii="Arial" w:cs="Arial" w:eastAsia="Arial" w:hAnsi="Arial"/>
          <w:sz w:val="22"/>
          <w:szCs w:val="22"/>
        </w:rPr>
        <w:t xml:space="preserve">Выработка электроэнергии на 2021 год прогнозируется в объеме 15262,3 млн. кВтч, что меньше на 1,1 процентного пункта по сравнению с ожидаемым уровнем 2020 года, которая рассчитана с учетом среднемноголетней приточности реки Нарын в створе Токтогульского гидроузла.</w:t>
      </w:r>
    </w:p>
    <w:p>
      <w:pPr>
        <w:spacing w:after="60"/>
        <w:ind w:firstLine="567"/>
        <w:jc w:val="both"/>
      </w:pPr>
      <w:r>
        <w:rPr>
          <w:rFonts w:ascii="Arial" w:cs="Arial" w:eastAsia="Arial" w:hAnsi="Arial"/>
          <w:sz w:val="22"/>
          <w:szCs w:val="22"/>
        </w:rPr>
        <w:t xml:space="preserve">В среднесрочном периоде ожидается снижение потребления электроэнергии населением за счет проводимой газификации, вместе с этим ожидается сохранение уровня потребления за счет роста экономики в целом, в частности промышленного сектора.</w:t>
      </w:r>
    </w:p>
    <w:p>
      <w:pPr>
        <w:spacing w:after="60"/>
        <w:ind w:firstLine="567"/>
        <w:jc w:val="both"/>
      </w:pPr>
      <w:r>
        <w:rPr>
          <w:rFonts w:ascii="Arial" w:cs="Arial" w:eastAsia="Arial" w:hAnsi="Arial"/>
          <w:sz w:val="22"/>
          <w:szCs w:val="22"/>
        </w:rPr>
        <w:t xml:space="preserve">Выработка электроэнергии в республике во многом зависит от притока воды и объема ее запасов в Токтогульском водохранилище, а водные ресурсы имеют непредсказуемый характер. Наступает маловодный цикл приточности рек Кыргызской Республики и, соответственно, особенно актуальными являются задачи о необходимости строгого лимитирования потребления электроэнергии по республике, увеличения выработки энергии на ТЭЦ города Бишкек, а также рассмотрения вопроса импорта электроэнергии из соседних государств.</w:t>
      </w:r>
    </w:p>
    <w:p>
      <w:pPr>
        <w:spacing w:after="60"/>
        <w:ind w:firstLine="567"/>
        <w:jc w:val="both"/>
      </w:pPr>
      <w:r>
        <w:rPr>
          <w:rFonts w:ascii="Arial" w:cs="Arial" w:eastAsia="Arial" w:hAnsi="Arial"/>
          <w:sz w:val="22"/>
          <w:szCs w:val="22"/>
        </w:rPr>
        <w:t xml:space="preserve">На первом этапе (2020-2022 гг.) в результате реабилитации Токтогульской ГЭС, включая замену двух гидроагрегатов в 2022 году ожидается прирост мощностей на 120 МВт, в 2021 году завершится реконструкция Ат-Башинской ГЭС с увеличением мощности на 4 МВт, которые позволят повысить качество и надежность электроснабжения в энергосистеме.</w:t>
      </w:r>
    </w:p>
    <w:p>
      <w:pPr>
        <w:spacing w:after="60"/>
        <w:ind w:firstLine="567"/>
        <w:jc w:val="both"/>
      </w:pPr>
      <w:r>
        <w:rPr>
          <w:rFonts w:ascii="Arial" w:cs="Arial" w:eastAsia="Arial" w:hAnsi="Arial"/>
          <w:sz w:val="22"/>
          <w:szCs w:val="22"/>
        </w:rPr>
        <w:t xml:space="preserve">Выработка тепловой энергии на 2021 год прогнозируется в размере 2750 млн. кВтч и возрастет на 78,7 млн. кВтч по сравнению с 2019 годом и зависит от климатических условий прогнозируемого периода.</w:t>
      </w:r>
    </w:p>
    <w:p>
      <w:pPr>
        <w:spacing w:after="60"/>
        <w:ind w:firstLine="567"/>
        <w:jc w:val="both"/>
      </w:pPr>
      <w:r>
        <w:rPr>
          <w:rFonts w:ascii="Arial" w:cs="Arial" w:eastAsia="Arial" w:hAnsi="Arial"/>
          <w:sz w:val="22"/>
          <w:szCs w:val="22"/>
        </w:rPr>
        <w:t xml:space="preserve">Обеспечение надежности теплоснабжения регионов для снижения нагрузки на электроэнергетику возможно за счет:</w:t>
      </w:r>
    </w:p>
    <w:p>
      <w:pPr>
        <w:spacing w:after="60"/>
        <w:ind w:firstLine="567"/>
        <w:jc w:val="both"/>
      </w:pPr>
      <w:r>
        <w:rPr>
          <w:rFonts w:ascii="Arial" w:cs="Arial" w:eastAsia="Arial" w:hAnsi="Arial"/>
          <w:sz w:val="22"/>
          <w:szCs w:val="22"/>
        </w:rPr>
        <w:t xml:space="preserve">- реализации Схемы развития теплоснабжения города Бишкек до 2030 года в рамках развития централизованного теплоснабжения с завершением строительства и вводом в действие ТЭЦ-2 города Бишкек, с подключением к ней централизованного теплоснабжения Южной части города Бишкек, а также котельной "Бишкексельмаш", с подключением к ней новых застроенных районов западной части, а также частично центральной части города;</w:t>
      </w:r>
    </w:p>
    <w:p>
      <w:pPr>
        <w:spacing w:after="60"/>
        <w:ind w:firstLine="567"/>
        <w:jc w:val="both"/>
      </w:pPr>
      <w:r>
        <w:rPr>
          <w:rFonts w:ascii="Arial" w:cs="Arial" w:eastAsia="Arial" w:hAnsi="Arial"/>
          <w:sz w:val="22"/>
          <w:szCs w:val="22"/>
        </w:rPr>
        <w:t xml:space="preserve">- разработки "Программы развития систем теплоснабжения малых и средних городов, в том числе Ош, Кызыл-Кия, Каракол и др., обозначенных в Национальной стратегии развития Кыргызской Республики на 2018-2040 годы (Указ Президента Кыргызской Республики от 31 октября 2018 года № 221) как точки роста;</w:t>
      </w:r>
    </w:p>
    <w:p>
      <w:pPr>
        <w:spacing w:after="60"/>
        <w:ind w:firstLine="567"/>
        <w:jc w:val="both"/>
      </w:pPr>
      <w:r>
        <w:rPr>
          <w:rFonts w:ascii="Arial" w:cs="Arial" w:eastAsia="Arial" w:hAnsi="Arial"/>
          <w:sz w:val="22"/>
          <w:szCs w:val="22"/>
        </w:rPr>
        <w:t xml:space="preserve">- котельных ГП "Кыргызтеплоэнерго", муниципальных и промышленных предприятий, а также сооружения минитепловых электростанций в режиме когенерации в районах разрабатываемых угольных месторождений Сулюкта, Таш-Кумыр, Кызыл-Кия и др.;</w:t>
      </w:r>
    </w:p>
    <w:p>
      <w:pPr>
        <w:spacing w:after="60"/>
        <w:ind w:firstLine="567"/>
        <w:jc w:val="both"/>
      </w:pPr>
      <w:r>
        <w:rPr>
          <w:rFonts w:ascii="Arial" w:cs="Arial" w:eastAsia="Arial" w:hAnsi="Arial"/>
          <w:sz w:val="22"/>
          <w:szCs w:val="22"/>
        </w:rPr>
        <w:t xml:space="preserve">- повсеместного использования возобновляемых источников энергии для решения проблем горячего водоснабжения и теплоснабжения в жилых домах путем повсеместной установки солнечных коллекторов, тепловых насосов, а также использования тепла геотермальных источников для теплоснабжения объектов соцкультбыта и населения в районах их сосредоточения;</w:t>
      </w:r>
    </w:p>
    <w:p>
      <w:pPr>
        <w:spacing w:after="60"/>
        <w:ind w:firstLine="567"/>
        <w:jc w:val="both"/>
      </w:pPr>
      <w:r>
        <w:rPr>
          <w:rFonts w:ascii="Arial" w:cs="Arial" w:eastAsia="Arial" w:hAnsi="Arial"/>
          <w:sz w:val="22"/>
          <w:szCs w:val="22"/>
        </w:rPr>
        <w:t xml:space="preserve">- технического перевооружения и модернизации котлов и сокращения потерь теплоэнергии, которые достигают в некоторых котельных до 60%, а также в тепловых сетях, где потери составляют 25% и более;</w:t>
      </w:r>
    </w:p>
    <w:p>
      <w:pPr>
        <w:spacing w:after="60"/>
        <w:ind w:firstLine="567"/>
        <w:jc w:val="both"/>
      </w:pPr>
      <w:r>
        <w:rPr>
          <w:rFonts w:ascii="Arial" w:cs="Arial" w:eastAsia="Arial" w:hAnsi="Arial"/>
          <w:sz w:val="22"/>
          <w:szCs w:val="22"/>
        </w:rPr>
        <w:t xml:space="preserve">- сооружения новых модернизированных локальных котельных в 20 малых городах и поселках городского типа в регионах, которые в перспективе обозначены как точки роста, что позволит значительно снизить затраты на приобретение топлива и потери тепловой энергии по сетям, с повышением качества теплоснабжения абонентов.</w:t>
      </w:r>
    </w:p>
    <w:p>
      <w:pPr>
        <w:spacing w:after="60"/>
        <w:ind w:firstLine="567"/>
        <w:jc w:val="both"/>
      </w:pPr>
      <w:r>
        <w:rPr>
          <w:rFonts w:ascii="Arial" w:cs="Arial" w:eastAsia="Arial" w:hAnsi="Arial"/>
          <w:sz w:val="22"/>
          <w:szCs w:val="22"/>
        </w:rPr>
        <w:t xml:space="preserve">4) Водоснабжение, очистка, обработка отходов и получение вторичного сырья в структуре промышленности имеют незначительный удельный вес (1,0%), прогнозируется реальный рост на уровне 3,7% за счет роста объемов сбора, обработки и распределения воды (водоснабжение) на 4,0%, сбора, обработки и уничтожения отходов, получения вторичного сырья - на 2,0% и проведения обеззараживания и прочей обработки отходов - на 5,0%.</w:t>
      </w:r>
    </w:p>
    <w:p>
      <w:pPr>
        <w:spacing w:after="60"/>
        <w:ind w:firstLine="567"/>
        <w:jc w:val="both"/>
      </w:pPr>
      <w:r>
        <w:rPr>
          <w:rFonts w:ascii="Arial" w:cs="Arial" w:eastAsia="Arial" w:hAnsi="Arial"/>
          <w:sz w:val="22"/>
          <w:szCs w:val="22"/>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золотодобывающих предприятий (доля в промышленности 49,3%), а также неустойчивой работой энергетической отрасли (доля в промышленности 13,3%) из-за влияния природно-климатического фактора.</w:t>
      </w:r>
    </w:p>
    <w:p>
      <w:pPr>
        <w:spacing w:after="60"/>
        <w:ind w:firstLine="567"/>
        <w:jc w:val="both"/>
      </w:pPr>
      <w:r>
        <w:rPr>
          <w:rFonts w:ascii="Arial" w:cs="Arial" w:eastAsia="Arial" w:hAnsi="Arial"/>
          <w:sz w:val="22"/>
          <w:szCs w:val="22"/>
        </w:rPr>
        <w:t xml:space="preserve">Возможными рисками, которые могут привести к недостижению заложенных показателей в отрасли промышленности, являются: простаивание и недостижение прогнозируемых объемов по производству нефтепродуктов на нефтеперерабатывающих предприятиях из-за необеспеченности сырьем для полной загрузки производственных мощностей предприятий, а также закрытия предприятия для организации переоборудования на соответствие стандартам ЕАЭС; возможный несвоевременный ввод запланированных месторождений (Джеруй, Макмал, Чаарат и др.), невыполнение заложенных ожидаемых объемов добычи на руднике Кумтор и сокращение производства на руднике Кумтор из-за техногенных факторов; перебои в подаче электроэнергии из-за низкого уровня накопления воды в Токтогульском водохранилище по причине природно-климатических условий, что может отразиться на достижении прогнозируемых объемов электроэнергии страны и водообеспеченности сельхозкультур; сохранение барьеров, препятствующих экспорту отечественных пищевых продуктов (включая напитки) и табачных изделий на внешние рынки; перебои в обеспечении источниками финансирования запланированных капитальных вложений в энергетике; инвестиционная непривлекательность предприятий промышленной отрасли из-за непредсказуемости бизнес-среды (конфликты местного населения с инвесторами, процедуры предоставления земельных участков под недропользование, оформление документов усложнено и требует многочисленных согласований, экспертиз и т.д.); отсталые технологии, низкий уровень рентабельности; высокий уровень объема ненаблюдаемой (скрытой и неформальной) экономики (23,4%), где отрасль промышленности занимает больше половины от ее общего уровня.</w:t>
      </w:r>
    </w:p>
    <w:p>
      <w:pPr>
        <w:spacing w:after="60" w:before="200"/>
        <w:ind w:firstLine="567"/>
        <w:jc w:val="both"/>
      </w:pPr>
      <w:r>
        <w:rPr>
          <w:rFonts w:ascii="Arial" w:cs="Arial" w:eastAsia="Arial" w:hAnsi="Arial"/>
          <w:b/>
          <w:bCs/>
          <w:sz w:val="22"/>
          <w:szCs w:val="22"/>
        </w:rPr>
        <w:t xml:space="preserve">Строительство</w:t>
      </w:r>
    </w:p>
    <w:p>
      <w:pPr>
        <w:spacing w:after="60"/>
        <w:ind w:firstLine="567"/>
        <w:jc w:val="both"/>
      </w:pPr>
      <w:r>
        <w:rPr>
          <w:rFonts w:ascii="Arial" w:cs="Arial" w:eastAsia="Arial" w:hAnsi="Arial"/>
          <w:sz w:val="22"/>
          <w:szCs w:val="22"/>
        </w:rPr>
        <w:t xml:space="preserve">В 2021 году развитие строительной отрасли станет одним из значимых направлений, обеспечивающих рост национальной экономики за счет реализации крупных инвестиционных проектов. В результате принятия комплексных мер развития в строительном комплексе страны прогнозируется увеличение капитальных вложений на 14,1%, объемы составят 196,4 млрд.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Динамика темпов роста в строительной отрасли на 2020-2021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8"/>
        <w:gridCol w:w="1583"/>
        <w:gridCol w:w="1583"/>
        <w:gridCol w:w="1382"/>
        <w:gridCol w:w="1382"/>
      </w:tblGrid>
      <w:tr>
        <w:tc>
          <w:tcPr>
            <w:tcW w:type="dxa" w:w="42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31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27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vMerge w:val="continue"/>
            <w:tcBorders>
              <w:top w:val="single" w:color="CBBF9E" w:sz="4"/>
              <w:left w:val="single" w:color="CBBF9E" w:sz="4"/>
              <w:bottom w:val="single" w:color="CBBF9E" w:sz="4"/>
              <w:right w:val="single" w:color="CBBF9E" w:sz="4"/>
            </w:tcBorders>
          </w:tcP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Инвестиции в основной капитал</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169560,2</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196417,1</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внутренние инвестиции</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117546,6</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135595,8</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113,7</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внешние инвестиции</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52013,6</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60821,3</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115,2</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Валовая продукция строительства</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178886,0</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199363,1</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r>
    </w:tbl>
    <w:p>
      <w:pPr>
        <w:spacing w:after="60" w:before="120"/>
        <w:ind w:firstLine="567"/>
        <w:jc w:val="both"/>
      </w:pPr>
      <w:r>
        <w:rPr>
          <w:rFonts w:ascii="Arial" w:cs="Arial" w:eastAsia="Arial" w:hAnsi="Arial"/>
          <w:sz w:val="22"/>
          <w:szCs w:val="22"/>
        </w:rPr>
        <w:t xml:space="preserve">Структура капитальных вложений, относительно ожидаемых в 2020 году, изменится в сторону увеличения доли внутренних инвестиций с 69,3% до 69,0% (основную долю занимают средства предприятий, организаций и населения, составляющие 82,7%) и увеличения доли внешних инвестиций с 30,7% до 31,0%.</w:t>
      </w:r>
    </w:p>
    <w:p>
      <w:pPr>
        <w:spacing w:after="60"/>
        <w:ind w:firstLine="567"/>
        <w:jc w:val="both"/>
      </w:pPr>
      <w:r>
        <w:rPr>
          <w:rFonts w:ascii="Arial" w:cs="Arial" w:eastAsia="Arial" w:hAnsi="Arial"/>
          <w:sz w:val="22"/>
          <w:szCs w:val="22"/>
        </w:rPr>
        <w:t xml:space="preserve">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2"/>
          <w:szCs w:val="22"/>
        </w:rPr>
        <w:t xml:space="preserve">Ожидается поступление капитальных вложений за счет средств республиканского бюджета в сумме 2400 млн. сомов, которые в первую очередь будут направлены на завершение строительства объектов высокой строительной готовности, реконструкцию объектов образования, пострадавших от стихийных бедствий, а также аварийных объектов.</w:t>
      </w:r>
    </w:p>
    <w:p>
      <w:pPr>
        <w:spacing w:after="60"/>
        <w:ind w:firstLine="567"/>
        <w:jc w:val="both"/>
      </w:pPr>
      <w:r>
        <w:rPr>
          <w:rFonts w:ascii="Arial" w:cs="Arial" w:eastAsia="Arial" w:hAnsi="Arial"/>
          <w:sz w:val="22"/>
          <w:szCs w:val="22"/>
        </w:rPr>
        <w:t xml:space="preserve">Прогнозные объемы капитальных вложений за счет средств предприятий и организаций в сумме 67,3 млрд. сомов будут сформированы счет инвестиций ЗАО "Кумтор Голд Компани" (10 млрд. сомов), ОАО "Кыргызалтын" и др.</w:t>
      </w:r>
    </w:p>
    <w:p>
      <w:pPr>
        <w:spacing w:after="60"/>
        <w:ind w:firstLine="567"/>
        <w:jc w:val="both"/>
      </w:pPr>
      <w:r>
        <w:rPr>
          <w:rFonts w:ascii="Arial" w:cs="Arial" w:eastAsia="Arial" w:hAnsi="Arial"/>
          <w:sz w:val="22"/>
          <w:szCs w:val="22"/>
        </w:rPr>
        <w:t xml:space="preserve">В 2021 году будут реализованы крупные инвестиционные проекты в энергетической и транспортной отраслях, которые внесут основной вклад в развитие строительства.</w:t>
      </w:r>
    </w:p>
    <w:p>
      <w:pPr>
        <w:spacing w:after="60"/>
        <w:ind w:firstLine="567"/>
        <w:jc w:val="both"/>
      </w:pPr>
      <w:r>
        <w:rPr>
          <w:rFonts w:ascii="Arial" w:cs="Arial" w:eastAsia="Arial" w:hAnsi="Arial"/>
          <w:sz w:val="22"/>
          <w:szCs w:val="22"/>
        </w:rPr>
        <w:t xml:space="preserve">Наибольшие объемы финансирования предусмотрены в секторе транспорта - всего в размере 11195,2 млн. сомов (35,6% всех государственных инвестиций), которые ожидаются за счет проектов: "Строительство альтернативной дороги Север-Юг" (641,7 млн. сомов - ИБР, СФР), "Реабилитация автомобильной дороги Ош-Баткен-Исфана" (114,1 млн. сомов - ИБР), проект "Улучшение коридора ЦАРЭС 3 (автодорога Бишкек-Ош)", Фаза 4 (1031,7 млн. сомов - АБР), "Строительство альтернативной дороги Север-Юг, Фаза 1 и Фаза 2" (2481,1 млн. сомов - КНР), проект "Соединительная дорога, коридоры ЦАРЭС 1 и ЦАРЭС 3" (3180,1 млн. сомов - АБР), проект "Улучшение дорог международного значения" (1316,6 млн. сомов - JICA), "Реконструкция автомобильной дороги Бишкек-Ош, Фаза IV" (1488,8 млн. сомов - ЕАБР) и другие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2"/>
          <w:szCs w:val="22"/>
        </w:rPr>
        <w:t xml:space="preserve">В энергетической отрасли объемы финансирования предусмотрены в сумме 8160,5 млн. сомов (26,0% всех государственных инвестиций), которые ожидаются за счет реализации проектов: "Реабилитация Токтогульской ГЭС, Фаза II" (1986,4 млн. сомов - АБР, ЕАБР), "Реконструкция Атбашинской ГЭС" (281,3 млн. сомов - Швейцария), "Проект улучшения теплоснабжения" (713,0 млн. сомов - ВБ), "Реабилитация Токтогульской ГЭС, Фаза III" (110,3 млн. сомов - АБР, ЕАБР), Проект "CASA-1000" (3101,8 млн. сомов - ВБ, ЕИБ, ИБР), "Ввод в эксплуатации второго гидроагрегата Камбаратинской ГЭС-2" (1074,0 млн. сомов - ЕАБР), "Реконструкция и строительство насосных станций" (558,3 млн. сомов - ЕБРР) и другие проекты, которые позволят в значительной мере улучшить состояние энергетической отрасли Кыргызской Республики и создать благоприятную основу для увеличения обмена электрической энергией между соседними государствами, а также транзитных перетоков.</w:t>
      </w:r>
    </w:p>
    <w:p>
      <w:pPr>
        <w:spacing w:after="60"/>
        <w:ind w:firstLine="567"/>
        <w:jc w:val="both"/>
      </w:pPr>
      <w:r>
        <w:rPr>
          <w:rFonts w:ascii="Arial" w:cs="Arial" w:eastAsia="Arial" w:hAnsi="Arial"/>
          <w:sz w:val="22"/>
          <w:szCs w:val="22"/>
        </w:rPr>
        <w:t xml:space="preserve">Объемы прямых иностранных инвестиций в сумме 15,1 млрд. сомов прогнозируются за счет капитальных вложений:</w:t>
      </w:r>
    </w:p>
    <w:p>
      <w:pPr>
        <w:spacing w:after="60"/>
        <w:ind w:firstLine="567"/>
        <w:jc w:val="both"/>
      </w:pPr>
      <w:r>
        <w:rPr>
          <w:rFonts w:ascii="Arial" w:cs="Arial" w:eastAsia="Arial" w:hAnsi="Arial"/>
          <w:sz w:val="22"/>
          <w:szCs w:val="22"/>
        </w:rPr>
        <w:t xml:space="preserve">- ОсОО "Каз Минералз Бозымчак" (1339,9 млн. сомов);</w:t>
      </w:r>
    </w:p>
    <w:p>
      <w:pPr>
        <w:spacing w:after="60"/>
        <w:ind w:firstLine="567"/>
        <w:jc w:val="both"/>
      </w:pPr>
      <w:r>
        <w:rPr>
          <w:rFonts w:ascii="Arial" w:cs="Arial" w:eastAsia="Arial" w:hAnsi="Arial"/>
          <w:sz w:val="22"/>
          <w:szCs w:val="22"/>
        </w:rPr>
        <w:t xml:space="preserve">- ОсОО "Фулл Голд Майнинг" (450,0 млн. сомов);</w:t>
      </w:r>
    </w:p>
    <w:p>
      <w:pPr>
        <w:spacing w:after="60"/>
        <w:ind w:firstLine="567"/>
        <w:jc w:val="both"/>
      </w:pPr>
      <w:r>
        <w:rPr>
          <w:rFonts w:ascii="Arial" w:cs="Arial" w:eastAsia="Arial" w:hAnsi="Arial"/>
          <w:sz w:val="22"/>
          <w:szCs w:val="22"/>
        </w:rPr>
        <w:t xml:space="preserve">- ЗАО "Чаарат Заав" (2,7 млн. сомов);</w:t>
      </w:r>
    </w:p>
    <w:p>
      <w:pPr>
        <w:spacing w:after="60"/>
        <w:ind w:firstLine="567"/>
        <w:jc w:val="both"/>
      </w:pPr>
      <w:r>
        <w:rPr>
          <w:rFonts w:ascii="Arial" w:cs="Arial" w:eastAsia="Arial" w:hAnsi="Arial"/>
          <w:sz w:val="22"/>
          <w:szCs w:val="22"/>
        </w:rPr>
        <w:t xml:space="preserve">- ОсОО "Газпром Кыргызстан" (1691,5 млн. сомов) и др.</w:t>
      </w:r>
    </w:p>
    <w:p>
      <w:pPr>
        <w:spacing w:after="60"/>
        <w:ind w:firstLine="567"/>
        <w:jc w:val="both"/>
      </w:pPr>
      <w:r>
        <w:rPr>
          <w:rFonts w:ascii="Arial" w:cs="Arial" w:eastAsia="Arial" w:hAnsi="Arial"/>
          <w:sz w:val="22"/>
          <w:szCs w:val="22"/>
        </w:rPr>
        <w:t xml:space="preserve">Исходя из планируемых объемов капитализации экономики, реальный рост общего объема валовой продукции строительства в 2021 году прогнозируется на уровне 9,8% и составит 199,4 млрд. сомов. Влияние строительной отрасли на темпы экономического роста будет положительным и составит 1,01 процентного пункта, удельный вес строительства в структуре производства ВВП - 10,5%.</w:t>
      </w:r>
    </w:p>
    <w:p>
      <w:pPr>
        <w:spacing w:after="60"/>
        <w:ind w:firstLine="567"/>
        <w:jc w:val="both"/>
      </w:pPr>
      <w:r>
        <w:rPr>
          <w:rFonts w:ascii="Arial" w:cs="Arial" w:eastAsia="Arial" w:hAnsi="Arial"/>
          <w:sz w:val="22"/>
          <w:szCs w:val="22"/>
        </w:rPr>
        <w:t xml:space="preserve">В региональном разрезе ожидается рост объемов строительства во всех регионах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город Бишкек (41,6%), Чуйская (16,2%), Джалал-Абадская (14,9%) и Иссык-Кульская (11,2%) области, суммарный вклад которых в развитие строительной отрасли составит 8,56 процентного пункта.</w:t>
      </w:r>
    </w:p>
    <w:p>
      <w:pPr>
        <w:spacing w:after="60"/>
        <w:ind w:firstLine="567"/>
        <w:jc w:val="both"/>
      </w:pPr>
      <w:r>
        <w:rPr>
          <w:rFonts w:ascii="Arial" w:cs="Arial" w:eastAsia="Arial" w:hAnsi="Arial"/>
          <w:sz w:val="22"/>
          <w:szCs w:val="22"/>
        </w:rPr>
        <w:t xml:space="preserve">Вместе с тем, присутствуют риски, которые могут оказать негативный эффект на развитие строительства в 2021 году и привести к недостижению прогнозируемых показателей, а именно:</w:t>
      </w:r>
    </w:p>
    <w:p>
      <w:pPr>
        <w:spacing w:after="60"/>
        <w:ind w:firstLine="567"/>
        <w:jc w:val="both"/>
      </w:pPr>
      <w:r>
        <w:rPr>
          <w:rFonts w:ascii="Arial" w:cs="Arial" w:eastAsia="Arial" w:hAnsi="Arial"/>
          <w:sz w:val="22"/>
          <w:szCs w:val="22"/>
        </w:rPr>
        <w:t xml:space="preserve">- сокращение иностранных кредитов, грантов и гуманитарной помощи из-за возможного перебоя финансирования части крупных инвестиционных проектов (несвоевременное открытие финансирования);</w:t>
      </w:r>
    </w:p>
    <w:p>
      <w:pPr>
        <w:spacing w:after="60"/>
        <w:ind w:firstLine="567"/>
        <w:jc w:val="both"/>
      </w:pPr>
      <w:r>
        <w:rPr>
          <w:rFonts w:ascii="Arial" w:cs="Arial" w:eastAsia="Arial" w:hAnsi="Arial"/>
          <w:sz w:val="22"/>
          <w:szCs w:val="22"/>
        </w:rPr>
        <w:t xml:space="preserve">- реализация инвестиционных проектов, заложенных в проекте бюджета по государственным инвестициям на 2020-2022 годы (внешние источники) может быть предусмотрена в сторону снижения. Причинами могут стать неосвоение средств из-за внутренних проблем, длительные процедуры согласования с донорами, и т.д. В связи с чем последующие транши могут и не поступить в республику;</w:t>
      </w:r>
    </w:p>
    <w:p>
      <w:pPr>
        <w:spacing w:after="60"/>
        <w:ind w:firstLine="567"/>
        <w:jc w:val="both"/>
      </w:pPr>
      <w:r>
        <w:rPr>
          <w:rFonts w:ascii="Arial" w:cs="Arial" w:eastAsia="Arial" w:hAnsi="Arial"/>
          <w:sz w:val="22"/>
          <w:szCs w:val="22"/>
        </w:rPr>
        <w:t xml:space="preserve">- последствия закрытия границы в деятельности дорожной отрасли могут выразиться в трудностях поставок и приобретения запасных частей на дорожно-строительную технику и оборудование, так как основная часть указанной техники китайского производства;</w:t>
      </w:r>
    </w:p>
    <w:p>
      <w:pPr>
        <w:spacing w:after="60"/>
        <w:ind w:firstLine="567"/>
        <w:jc w:val="both"/>
      </w:pPr>
      <w:r>
        <w:rPr>
          <w:rFonts w:ascii="Arial" w:cs="Arial" w:eastAsia="Arial" w:hAnsi="Arial"/>
          <w:sz w:val="22"/>
          <w:szCs w:val="22"/>
        </w:rPr>
        <w:t xml:space="preserve">- несвоевременное и в недостаточном объеме открытие финансирования запланированных объемов капитальных вложений за счет республиканского бюджета;</w:t>
      </w:r>
    </w:p>
    <w:p>
      <w:pPr>
        <w:spacing w:after="60"/>
        <w:ind w:firstLine="567"/>
        <w:jc w:val="both"/>
      </w:pPr>
      <w:r>
        <w:rPr>
          <w:rFonts w:ascii="Arial" w:cs="Arial" w:eastAsia="Arial" w:hAnsi="Arial"/>
          <w:sz w:val="22"/>
          <w:szCs w:val="22"/>
        </w:rPr>
        <w:t xml:space="preserve">- сокращение капитальных вложений за счет средств предприятий и организаций из-за возможного перебоя в финансировании части отдельных проектов (несвоевременное открытие финансирования);</w:t>
      </w:r>
    </w:p>
    <w:p>
      <w:pPr>
        <w:spacing w:after="60"/>
        <w:ind w:firstLine="567"/>
        <w:jc w:val="both"/>
      </w:pPr>
      <w:r>
        <w:rPr>
          <w:rFonts w:ascii="Arial" w:cs="Arial" w:eastAsia="Arial" w:hAnsi="Arial"/>
          <w:sz w:val="22"/>
          <w:szCs w:val="22"/>
        </w:rPr>
        <w:t xml:space="preserve">- снижение капитальных вложений, финансируемых за счет средств населения, из-за ухудшения его платежеспособности, вследствие чего уменьшение объемов жилищного строительства за счет средств населения;</w:t>
      </w:r>
    </w:p>
    <w:p>
      <w:pPr>
        <w:spacing w:after="60"/>
        <w:ind w:firstLine="567"/>
        <w:jc w:val="both"/>
      </w:pPr>
      <w:r>
        <w:rPr>
          <w:rFonts w:ascii="Arial" w:cs="Arial" w:eastAsia="Arial" w:hAnsi="Arial"/>
          <w:sz w:val="22"/>
          <w:szCs w:val="22"/>
        </w:rPr>
        <w:t xml:space="preserve">- сокращение объемов прямых иностранных инвестиций из-за снижения капитальных затрат иностранных инвесторов и отсутствие данных по другим дополнительным источникам финансирования;</w:t>
      </w:r>
    </w:p>
    <w:p>
      <w:pPr>
        <w:spacing w:after="60"/>
        <w:ind w:firstLine="567"/>
        <w:jc w:val="both"/>
      </w:pPr>
      <w:r>
        <w:rPr>
          <w:rFonts w:ascii="Arial" w:cs="Arial" w:eastAsia="Arial" w:hAnsi="Arial"/>
          <w:sz w:val="22"/>
          <w:szCs w:val="22"/>
        </w:rPr>
        <w:t xml:space="preserve">- остаются проблемы, связанные с актом приемки завершенных объектов, некоторые из которых завершены в прошлые годы, однако не оформлены акты приема-передачи, что связано с недооснащением, недооборудованием объектов, трудностями подключения вновь возводимых объектов к инфраструктуре.</w:t>
      </w:r>
    </w:p>
    <w:p>
      <w:pPr>
        <w:spacing w:after="60" w:before="200"/>
        <w:ind w:firstLine="567"/>
        <w:jc w:val="both"/>
      </w:pPr>
      <w:r>
        <w:rPr>
          <w:rFonts w:ascii="Arial" w:cs="Arial" w:eastAsia="Arial" w:hAnsi="Arial"/>
          <w:b/>
          <w:bCs/>
          <w:sz w:val="22"/>
          <w:szCs w:val="22"/>
        </w:rPr>
        <w:t xml:space="preserve">Сфера услуг</w:t>
      </w:r>
    </w:p>
    <w:p>
      <w:pPr>
        <w:spacing w:after="60"/>
        <w:ind w:firstLine="567"/>
        <w:jc w:val="both"/>
      </w:pPr>
      <w:r>
        <w:rPr>
          <w:rFonts w:ascii="Arial" w:cs="Arial" w:eastAsia="Arial" w:hAnsi="Arial"/>
          <w:sz w:val="22"/>
          <w:szCs w:val="22"/>
        </w:rPr>
        <w:t xml:space="preserve">Развитие сферы услуг в 2021 году будет зависеть от того, насколько меры против коронавирусной инфекции будут успешными и от восстановления других сфер экономики. Меры, принятые странами мира против коронавирусной инфекции, и появление вакцин против нее, а также начало массовой вакцинации в конце 2020 года, будут способствовать развитию сферы услуг в 2021 году и ее быстрому восстановлению.</w:t>
      </w:r>
    </w:p>
    <w:p>
      <w:pPr>
        <w:spacing w:after="60"/>
        <w:ind w:firstLine="567"/>
        <w:jc w:val="both"/>
      </w:pPr>
      <w:r>
        <w:rPr>
          <w:rFonts w:ascii="Arial" w:cs="Arial" w:eastAsia="Arial" w:hAnsi="Arial"/>
          <w:sz w:val="22"/>
          <w:szCs w:val="22"/>
        </w:rPr>
        <w:t xml:space="preserve">Эта ситуация может практически устранить текущие экономические ограничения. Границы будут открыты, воздушные и наземные сообщения возобновятся, трудовые мигранты смогут работать в одинаковых условиях, а размеры денежных переводов от них будут оцениваться на стабильном уровне.</w:t>
      </w:r>
    </w:p>
    <w:p>
      <w:pPr>
        <w:spacing w:after="60"/>
        <w:ind w:firstLine="567"/>
        <w:jc w:val="both"/>
      </w:pPr>
      <w:r>
        <w:rPr>
          <w:rFonts w:ascii="Arial" w:cs="Arial" w:eastAsia="Arial" w:hAnsi="Arial"/>
          <w:sz w:val="22"/>
          <w:szCs w:val="22"/>
        </w:rPr>
        <w:t xml:space="preserve">После значительного падения объемов в 2020 году, объемы оптовой и розничной торговли в последующие годы будут увеличиваться. Прогнозируется, что темпы роста оптово-розничной торговли составят 109,0%. Рост торговли произойдет за счет увеличения продаж не только продовольственной группы товаров, но и роста объемов торговли товарами длительного пользования, а также оборудования, материалов для производства и строительства, в связи с запуском ряда приостановленных в 2020 году проектов. Кроме того, увеличению объемов торговли будет способствовать и рост объемов онлайн-торговли.</w:t>
      </w:r>
    </w:p>
    <w:p>
      <w:pPr>
        <w:spacing w:after="60"/>
        <w:ind w:firstLine="567"/>
        <w:jc w:val="both"/>
      </w:pPr>
      <w:r>
        <w:rPr>
          <w:rFonts w:ascii="Arial" w:cs="Arial" w:eastAsia="Arial" w:hAnsi="Arial"/>
          <w:sz w:val="22"/>
          <w:szCs w:val="22"/>
        </w:rPr>
        <w:t xml:space="preserve">Сфера туризма, объемы услуг гостиниц и ресторанов, а также культурно-развлекательных объектов в 2021 году покажут высокий рост, на фоне низкой базы 2020 года и составит 110,3%, но не достигнет до кризисных показателей. Этому будет способствовать открытие границ, возобновление воздушного сообщения и международного и внутреннего туризма, Однако определенные ограничения по передвижению населения между странами могут остаться, ввиду того, что охват всего населения вакцинацией не будет завершен в 2021 году.</w:t>
      </w:r>
    </w:p>
    <w:p>
      <w:pPr>
        <w:spacing w:after="60"/>
        <w:ind w:firstLine="567"/>
        <w:jc w:val="both"/>
      </w:pPr>
      <w:r>
        <w:rPr>
          <w:rFonts w:ascii="Arial" w:cs="Arial" w:eastAsia="Arial" w:hAnsi="Arial"/>
          <w:sz w:val="22"/>
          <w:szCs w:val="22"/>
        </w:rPr>
        <w:t xml:space="preserve">Основным фактором для полноценного функционирования грузоперевозок является открытие границ государств - членов ЕАЭС и третьих стран, и оживление всех сфер жизнедеятельности населения.</w:t>
      </w:r>
    </w:p>
    <w:p>
      <w:pPr>
        <w:spacing w:after="60"/>
        <w:ind w:firstLine="567"/>
        <w:jc w:val="both"/>
      </w:pPr>
      <w:r>
        <w:rPr>
          <w:rFonts w:ascii="Arial" w:cs="Arial" w:eastAsia="Arial" w:hAnsi="Arial"/>
          <w:sz w:val="22"/>
          <w:szCs w:val="22"/>
        </w:rPr>
        <w:t xml:space="preserve">Правительство будет принимать меры по реабилитации и сохранению автомобильных дорог, созданию безопасных международных транспортных коридоров. Основным инструментом реализации проектов в этой сфере станет государственно-частное партнерство.</w:t>
      </w:r>
    </w:p>
    <w:p>
      <w:pPr>
        <w:spacing w:after="60"/>
        <w:ind w:firstLine="567"/>
        <w:jc w:val="both"/>
      </w:pPr>
      <w:r>
        <w:rPr>
          <w:rFonts w:ascii="Arial" w:cs="Arial" w:eastAsia="Arial" w:hAnsi="Arial"/>
          <w:sz w:val="22"/>
          <w:szCs w:val="22"/>
        </w:rPr>
        <w:t xml:space="preserve">Оживление экономической активности в стране и странах - основных торговых партнерах, сохранение низких цен на энергоносители, возобновление полетов в большинство стран и восстановление экономики будут способствовать росту услуг транспортной деятельности в 2021 году, который прогнозируется на уровне 112,8%.</w:t>
      </w:r>
    </w:p>
    <w:p>
      <w:pPr>
        <w:spacing w:after="60"/>
        <w:ind w:firstLine="567"/>
        <w:jc w:val="both"/>
      </w:pPr>
      <w:r>
        <w:rPr>
          <w:rFonts w:ascii="Arial" w:cs="Arial" w:eastAsia="Arial" w:hAnsi="Arial"/>
          <w:sz w:val="22"/>
          <w:szCs w:val="22"/>
        </w:rPr>
        <w:t xml:space="preserve">Сохранение мировой тенденции для телекоммуникационных компаний будет иметь место и по отношению отечественных сотовых операторов, в 2021 году объем услуг сложится на уровне 103,0%.</w:t>
      </w:r>
    </w:p>
    <w:p>
      <w:pPr>
        <w:spacing w:after="60"/>
        <w:ind w:firstLine="567"/>
        <w:jc w:val="both"/>
      </w:pPr>
      <w:r>
        <w:rPr>
          <w:rFonts w:ascii="Arial" w:cs="Arial" w:eastAsia="Arial" w:hAnsi="Arial"/>
          <w:sz w:val="22"/>
          <w:szCs w:val="22"/>
        </w:rPr>
        <w:t xml:space="preserve">Будут продолжены мероприятия по внедрению механизмов взаимодействия государственных органов посредством единой системы "Тундук", переводу государственных услуг в цифровой формат и дальнейшему их размещению на государственном портале электронных услуг, реализации проекта "Digital CASA - Кыргызская Республика", который направлен на расширение доступа к более доступному Интернету, привлечению частных инвестиций в сектор информационно-коммуникационных технологий и повышению предоставления услуг "цифрового правительства" в Кыргызской Республике.</w:t>
      </w:r>
    </w:p>
    <w:p>
      <w:pPr>
        <w:spacing w:after="60"/>
        <w:ind w:firstLine="567"/>
        <w:jc w:val="both"/>
      </w:pPr>
      <w:r>
        <w:rPr>
          <w:rFonts w:ascii="Arial" w:cs="Arial" w:eastAsia="Arial" w:hAnsi="Arial"/>
          <w:sz w:val="22"/>
          <w:szCs w:val="22"/>
        </w:rPr>
        <w:t xml:space="preserve">В свете вышеизложенных положительных изменений в постпандемический период и восстановления экономик стран - основных торговых партнеров, объем сферы услуг вырастет на 5,1%.</w:t>
      </w:r>
    </w:p>
    <w:p>
      <w:pPr>
        <w:spacing w:after="60" w:before="200"/>
        <w:ind w:firstLine="567"/>
        <w:jc w:val="both"/>
      </w:pPr>
      <w:r>
        <w:rPr>
          <w:rFonts w:ascii="Arial" w:cs="Arial" w:eastAsia="Arial" w:hAnsi="Arial"/>
          <w:b/>
          <w:bCs/>
          <w:sz w:val="22"/>
          <w:szCs w:val="22"/>
        </w:rPr>
        <w:t xml:space="preserve">6.9.2. ВВП методом конечного использования (расходов)</w:t>
      </w:r>
    </w:p>
    <w:p>
      <w:pPr>
        <w:spacing w:after="60"/>
        <w:ind w:firstLine="567"/>
        <w:jc w:val="both"/>
      </w:pPr>
      <w:r>
        <w:rPr>
          <w:rFonts w:ascii="Arial" w:cs="Arial" w:eastAsia="Arial" w:hAnsi="Arial"/>
          <w:sz w:val="22"/>
          <w:szCs w:val="22"/>
        </w:rPr>
        <w:t xml:space="preserve">Принимаемые меры Правительства по повышению привлекательности инвестиционного климата, устранению административных барьеров, ограничивающих развитие предпринимательства и инвестирования на территории регионов, а также реализации крупных инвестиционных проектов, заложенных в стратегических документах, будут способствовать увеличению доли валовых инвестиций в структуре ВВП с 34,9% в 2019 году до 35,3% - в 2021 году.</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2"/>
          <w:szCs w:val="22"/>
        </w:rPr>
        <w:t xml:space="preserve">Таблица 9</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Структура ВВП методом конечного использования (расходов),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9"/>
        <w:gridCol w:w="1313"/>
        <w:gridCol w:w="1323"/>
        <w:gridCol w:w="1323"/>
      </w:tblGrid>
      <w:tr>
        <w:tc>
          <w:tcPr>
            <w:tcW w:type="dxa" w:w="62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год(13),
 оценка</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Потребление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Частное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80,1</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Валовые инвестиции(*)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Государственные инвестиции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них: проекты государственных инвестиций (ПГИ)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Частные инвестиции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Чистый экспорт товаров и услуг</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 и услуг</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и услуг</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64,9</w:t>
            </w:r>
          </w:p>
        </w:tc>
      </w:tr>
    </w:tbl>
    <w:p>
      <w:pPr>
        <w:spacing w:after="60" w:before="120"/>
        <w:ind w:firstLine="567"/>
        <w:jc w:val="both"/>
      </w:pPr>
      <w:r>
        <w:rPr>
          <w:rFonts w:ascii="Arial" w:cs="Arial" w:eastAsia="Arial" w:hAnsi="Arial"/>
          <w:sz w:val="22"/>
          <w:szCs w:val="22"/>
        </w:rPr>
        <w:t xml:space="preserve">(*) По методике МВФ.</w:t>
      </w:r>
    </w:p>
    <w:p>
      <w:pPr>
        <w:spacing w:after="60"/>
        <w:ind w:firstLine="567"/>
        <w:jc w:val="both"/>
      </w:pPr>
      <w:r>
        <w:rPr>
          <w:rFonts w:ascii="Arial" w:cs="Arial" w:eastAsia="Arial" w:hAnsi="Arial"/>
          <w:sz w:val="22"/>
          <w:szCs w:val="22"/>
        </w:rPr>
        <w:t xml:space="preserve">Действия Правительства, как и прежде, будут направлены на развитие экспортного потенциала республики, реализация которого будет проводиться в рамках Программы Правительства Кыргызской Республики по развитию экспорта Кыргызской Республики на 2019-2022 годы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20 декабря 2018 года № 596) и направлена на создание благоприятных условий для роста и развития экспортного потенциала республики, выявление и поэтапное устранение имеющихся барьеров. Основными направлениями деятельности будут дальнейшее расширение рынков экспорта через активизацию работы по выходу отечественной продукции на целевые рынки; применение инструментов экономической дипломатии для продвижения торгово-экономических интересов страны; реализация мероприятий по использованию преимуществ от получения статуса бенефициара ВСП+.</w:t>
      </w:r>
    </w:p>
    <w:p>
      <w:pPr>
        <w:spacing w:after="60"/>
        <w:ind w:firstLine="567"/>
        <w:jc w:val="both"/>
      </w:pPr>
      <w:r>
        <w:rPr>
          <w:rFonts w:ascii="Arial" w:cs="Arial" w:eastAsia="Arial" w:hAnsi="Arial"/>
          <w:sz w:val="22"/>
          <w:szCs w:val="22"/>
        </w:rPr>
        <w:t xml:space="preserve">Для наращивания экспортных возможностей страны в первую очередь будут решаться вопросы простоты, удобства и скорости внешнеторговых операций, осуществляемых участниками внешнеэкономической деятельности. Будут приниматься меры, направленные на сокращение количества процедур, времени и материальных затрат при экспортно-импортных операциях. С этой целью продолжится осуществление Плана по реализации Соглашения ВТО по упрощению процедур торговли и других мероприятий по упрощению торговых и транспортных процедур Кыргызской Республики на 2018-2022 годы.</w:t>
      </w:r>
    </w:p>
    <w:p>
      <w:pPr>
        <w:spacing w:after="60"/>
        <w:ind w:firstLine="567"/>
        <w:jc w:val="both"/>
      </w:pPr>
      <w:r>
        <w:rPr>
          <w:rFonts w:ascii="Arial" w:cs="Arial" w:eastAsia="Arial" w:hAnsi="Arial"/>
          <w:sz w:val="22"/>
          <w:szCs w:val="22"/>
        </w:rPr>
        <w:t xml:space="preserve">Целевыми рынками для экспорта продукции, товаров и услуг отечественной продукции являются государства - члены ЕАЭС, Китай, Индия, страны Ближнего Востока.</w:t>
      </w:r>
    </w:p>
    <w:p>
      <w:pPr>
        <w:spacing w:after="60"/>
        <w:ind w:firstLine="567"/>
        <w:jc w:val="both"/>
      </w:pPr>
      <w:r>
        <w:rPr>
          <w:rFonts w:ascii="Arial" w:cs="Arial" w:eastAsia="Arial" w:hAnsi="Arial"/>
          <w:sz w:val="22"/>
          <w:szCs w:val="22"/>
        </w:rPr>
        <w:t xml:space="preserve">Увеличение экспорта будет реализовываться за счет существующих приоритетных секторов, продукция которых имеет устойчивую экспортную направленность (переработка овощей и фруктов, молочный сектор, швейная отрасль), а также через решение задач в трех кросс-отраслевых секторах, не специфичных для отраслей, но имеющих равное значение для всех экспортных предприятий и позволяющих им реализовать возможности глобального рынка: 1) инфраструктура качества; 2) стимулирование экспорта; 3) доступ к финансам.</w:t>
      </w:r>
    </w:p>
    <w:p>
      <w:pPr>
        <w:spacing w:after="60"/>
        <w:ind w:firstLine="567"/>
        <w:jc w:val="both"/>
      </w:pPr>
      <w:r>
        <w:rPr>
          <w:rFonts w:ascii="Arial" w:cs="Arial" w:eastAsia="Arial" w:hAnsi="Arial"/>
          <w:sz w:val="22"/>
          <w:szCs w:val="22"/>
        </w:rPr>
        <w:t xml:space="preserve">Будет продолжена работа по созданию инфраструктуры качества, отвечающей международным требованиям. Завершится работа по модернизации и обновлению пунктов пропуска на государственной границе Кыргызской Республики, созданию единой информационной базы данных для участников внешнеэкономической деятельности с целью содействия в продвижении их товаров, будет продолжена деятельность Российско-Кыргызского Фонда развития по поддержке наиболее перспективных проектов в ключевых экспортно-ориентированных секторах экономики, таких как сельское хозяйство, легкая промышленность, пищевая промышленность и т.д.</w:t>
      </w:r>
    </w:p>
    <w:p>
      <w:pPr>
        <w:spacing w:after="60"/>
        <w:ind w:firstLine="567"/>
        <w:jc w:val="both"/>
      </w:pPr>
      <w:r>
        <w:rPr>
          <w:rFonts w:ascii="Arial" w:cs="Arial" w:eastAsia="Arial" w:hAnsi="Arial"/>
          <w:sz w:val="22"/>
          <w:szCs w:val="22"/>
        </w:rPr>
        <w:t xml:space="preserve">Продолжится разработка мер по обеспечению экспортно-ориентированных производителей доступными финансовыми ресурсами. Наряду со сформировавшимися инструментами кредитования сельского хозяйства, будут разрабатываться дополнительные финансовые инструменты по поддержке экспорта сельскохозяйственной продукции и продукции переработки, развиваться механизм факторинговых операций.</w:t>
      </w:r>
    </w:p>
    <w:p>
      <w:pPr>
        <w:spacing w:after="60"/>
        <w:ind w:firstLine="567"/>
        <w:jc w:val="both"/>
      </w:pPr>
      <w:r>
        <w:rPr>
          <w:rFonts w:ascii="Arial" w:cs="Arial" w:eastAsia="Arial" w:hAnsi="Arial"/>
          <w:sz w:val="22"/>
          <w:szCs w:val="22"/>
        </w:rPr>
        <w:t xml:space="preserve">Также, в рамках ЕАЭС будет продолжена работа по расширению торгового сотрудничества с третьими странами, что обеспечит преференциальный доступ кыргызским товарам на внешние рынки.</w:t>
      </w:r>
    </w:p>
    <w:p>
      <w:pPr>
        <w:spacing w:after="60"/>
        <w:ind w:firstLine="567"/>
        <w:jc w:val="both"/>
      </w:pPr>
      <w:r>
        <w:rPr>
          <w:rFonts w:ascii="Arial" w:cs="Arial" w:eastAsia="Arial" w:hAnsi="Arial"/>
          <w:sz w:val="22"/>
          <w:szCs w:val="22"/>
        </w:rPr>
        <w:t xml:space="preserve">Таможенно-тарифная политика в 2020-2022 годах будет направлена на поддержание рационального соотношения ввоза и вывоза товаров, повышение конкурентоспособности производителей, улучшение товарной структуры внешней торговли, стимулирование инвестиционных процессов в экономике, в том числе привлечение прямых иностранных инвестиций, а также будет обеспечивать фискальную функцию бюджета, способствовать сдерживанию роста внутренних цен, сокращению прямых и косвенных издержек операторов внешнеэкономической деятельности.</w:t>
      </w:r>
    </w:p>
    <w:p>
      <w:pPr>
        <w:spacing w:after="60"/>
        <w:ind w:firstLine="567"/>
        <w:jc w:val="both"/>
      </w:pPr>
      <w:r>
        <w:rPr>
          <w:rFonts w:ascii="Arial" w:cs="Arial" w:eastAsia="Arial" w:hAnsi="Arial"/>
          <w:sz w:val="22"/>
          <w:szCs w:val="22"/>
        </w:rPr>
        <w:t xml:space="preserve">Будет продолжена реализация принципа эскалации тарифа с учетом необходимости обеспечения отраслей экономики сырьем, материалами и инвестиционными товарами по конкурентным ценам.</w:t>
      </w:r>
    </w:p>
    <w:p>
      <w:pPr>
        <w:spacing w:after="60"/>
        <w:ind w:firstLine="567"/>
        <w:jc w:val="both"/>
      </w:pPr>
      <w:r>
        <w:rPr>
          <w:rFonts w:ascii="Arial" w:cs="Arial" w:eastAsia="Arial" w:hAnsi="Arial"/>
          <w:sz w:val="22"/>
          <w:szCs w:val="22"/>
        </w:rPr>
        <w:t xml:space="preserve">В перспективе такие ключевые факторы, как снижение существующих барьеров в торговле внутри ЕАЭС, валютные риски, волатильность мировых цен на сырьевые товары, снижение уязвимости к внешним шокам, денежные переводы и др. будут предопределять траекторию общего товарооборота.</w:t>
      </w:r>
    </w:p>
    <w:p>
      <w:pPr>
        <w:spacing w:after="60"/>
        <w:ind w:firstLine="567"/>
        <w:jc w:val="both"/>
      </w:pPr>
      <w:r>
        <w:rPr>
          <w:rFonts w:ascii="Arial" w:cs="Arial" w:eastAsia="Arial" w:hAnsi="Arial"/>
          <w:sz w:val="22"/>
          <w:szCs w:val="22"/>
        </w:rPr>
        <w:t xml:space="preserve">Прогнозируется, что в 2021 году внешнеторговый оборот составит 6550,0 млн. долл. США, в том числе экспорт прогнозируется на уровне 2000,0 млн. долл. США и импорт - 4550,0 млн. долл. США.</w:t>
      </w:r>
    </w:p>
    <w:p>
      <w:pPr>
        <w:spacing w:after="60"/>
        <w:ind w:firstLine="567"/>
        <w:jc w:val="both"/>
      </w:pPr>
      <w:r>
        <w:rPr>
          <w:rFonts w:ascii="Arial" w:cs="Arial" w:eastAsia="Arial" w:hAnsi="Arial"/>
          <w:sz w:val="22"/>
          <w:szCs w:val="22"/>
        </w:rPr>
        <w:t xml:space="preserve">Рост объема экспортных поставок прогнозируется на уровне 108,5%, без учета золота - 113,3%. Основными товарными позициями в экспорте будут золото, цемент, предметы одежды и одежные принадлежности, овощи и фрукты и др.</w:t>
      </w:r>
    </w:p>
    <w:p>
      <w:pPr>
        <w:spacing w:after="60"/>
        <w:ind w:firstLine="567"/>
        <w:jc w:val="both"/>
      </w:pPr>
      <w:r>
        <w:rPr>
          <w:rFonts w:ascii="Arial" w:cs="Arial" w:eastAsia="Arial" w:hAnsi="Arial"/>
          <w:sz w:val="22"/>
          <w:szCs w:val="22"/>
        </w:rPr>
        <w:t xml:space="preserve">Увеличение объема импортных поступлений прогнозируется на уровне 104,8%, где доминирующее влияние будет оказывать ввоз в страну нефтепродуктов, продовольственных товаров, фармацевтической продукции, одежды и ее принадлежностей и др.</w:t>
      </w:r>
    </w:p>
    <w:p>
      <w:pPr>
        <w:spacing w:after="60"/>
        <w:ind w:firstLine="567"/>
        <w:jc w:val="both"/>
      </w:pPr>
      <w:r>
        <w:rPr>
          <w:rFonts w:ascii="Arial" w:cs="Arial" w:eastAsia="Arial" w:hAnsi="Arial"/>
          <w:sz w:val="22"/>
          <w:szCs w:val="22"/>
        </w:rPr>
        <w:t xml:space="preserve">В результате отрицательное сальдо торгового баланса прогнозируется на уровне 2550,0 млн. долл. США.</w:t>
      </w:r>
    </w:p>
    <w:p>
      <w:pPr>
        <w:spacing w:after="60"/>
        <w:ind w:firstLine="567"/>
        <w:jc w:val="both"/>
      </w:pPr>
      <w:r>
        <w:rPr>
          <w:rFonts w:ascii="Arial" w:cs="Arial" w:eastAsia="Arial" w:hAnsi="Arial"/>
          <w:sz w:val="22"/>
          <w:szCs w:val="22"/>
        </w:rPr>
        <w:t xml:space="preserve">Удельный вес объема экспорта товаров и услуг в 2021 году составит 32,5%, где наблюдается некоторое снижение по сравнению с 2019 годом в связи с сокращением объемов производства золота на предприятиях по разработке месторождения Кумтор, доля которых в структуре экспорта составляет почти 30%.</w:t>
      </w:r>
    </w:p>
    <w:p>
      <w:pPr>
        <w:spacing w:after="60"/>
        <w:ind w:firstLine="567"/>
        <w:jc w:val="both"/>
      </w:pPr>
      <w:r>
        <w:rPr>
          <w:rFonts w:ascii="Arial" w:cs="Arial" w:eastAsia="Arial" w:hAnsi="Arial"/>
          <w:sz w:val="22"/>
          <w:szCs w:val="22"/>
        </w:rPr>
        <w:t xml:space="preserve">Принимаемые меры по улучшению благосостояния населения, увеличению размера доходов населения, а также прогнозируемое увеличение объемов импорта и умеренный рост денежных переводов позволят увеличить потребление. Рост уровня потребления прогнозируется на уровне 4,3%, в том числе реальный прирост частного потребления - на 4,6%.</w:t>
      </w:r>
    </w:p>
    <w:p>
      <w:pPr>
        <w:spacing w:after="60" w:before="200"/>
        <w:ind w:firstLine="567"/>
        <w:jc w:val="both"/>
      </w:pPr>
      <w:r>
        <w:rPr>
          <w:rFonts w:ascii="Arial" w:cs="Arial" w:eastAsia="Arial" w:hAnsi="Arial"/>
          <w:b/>
          <w:bCs/>
          <w:sz w:val="22"/>
          <w:szCs w:val="22"/>
        </w:rPr>
        <w:t xml:space="preserve">6.10. Региональное развитие</w:t>
      </w:r>
    </w:p>
    <w:p>
      <w:pPr>
        <w:spacing w:after="60"/>
        <w:ind w:firstLine="567"/>
        <w:jc w:val="both"/>
      </w:pPr>
      <w:r>
        <w:rPr>
          <w:rFonts w:ascii="Arial" w:cs="Arial" w:eastAsia="Arial" w:hAnsi="Arial"/>
          <w:sz w:val="22"/>
          <w:szCs w:val="22"/>
        </w:rPr>
        <w:t xml:space="preserve">В 2021 году будет продолжена работа по сбалансированному развитию регионов, созданию благоприятной бизнес-среды в рамках реализации Концепции региональной политики Кыргызской Республики на период 2018-2022 годов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31 марта 2017 года № 194). Для реализации поставленных задач будут определены основные конкурентные преимущества каждого региона с учетом их специфики, а также дальнейшее развитие городов - точек роста. Особое внимание будет уделено развитию приграничных территорий. Будут созданы условия в части инфраструктуры и услуг для удовлетворения потребностей граждан, проживающих на данных территориях.</w:t>
      </w:r>
    </w:p>
    <w:p>
      <w:pPr>
        <w:spacing w:after="60"/>
        <w:ind w:firstLine="567"/>
        <w:jc w:val="both"/>
      </w:pPr>
      <w:r>
        <w:rPr>
          <w:rFonts w:ascii="Arial" w:cs="Arial" w:eastAsia="Arial" w:hAnsi="Arial"/>
          <w:sz w:val="22"/>
          <w:szCs w:val="22"/>
        </w:rPr>
        <w:t xml:space="preserve">Будут реализованы программы развития отобранных 20 опорных городов - точек роста, которые станут локомотивом развития регионов. Будет проводиться работа по открытию в каждом районе республики специализированных центров по поддержке предпринимателей, обучению их финансовой грамотности и подготовке бизнес-планов. Для развития регионов особое внимание будет уделено повышению грамотности граждан в сфере предпринимательства для более рационального использования кредитных ресурсов, инвестиций и последующей реализации своих идей и проектов.</w:t>
      </w:r>
    </w:p>
    <w:p>
      <w:pPr>
        <w:spacing w:after="60"/>
        <w:ind w:firstLine="567"/>
        <w:jc w:val="both"/>
      </w:pPr>
      <w:r>
        <w:rPr>
          <w:rFonts w:ascii="Arial" w:cs="Arial" w:eastAsia="Arial" w:hAnsi="Arial"/>
          <w:sz w:val="22"/>
          <w:szCs w:val="22"/>
        </w:rPr>
        <w:t xml:space="preserve">Акцент будет сделан на развитии и реализации проектов в сфере "зеленой" экономики, программ по финансированию проектов в сельском хозяйстве.</w:t>
      </w:r>
    </w:p>
    <w:p>
      <w:pPr>
        <w:spacing w:after="60"/>
        <w:ind w:firstLine="567"/>
        <w:jc w:val="both"/>
      </w:pPr>
      <w:r>
        <w:rPr>
          <w:rFonts w:ascii="Arial" w:cs="Arial" w:eastAsia="Arial" w:hAnsi="Arial"/>
          <w:sz w:val="22"/>
          <w:szCs w:val="22"/>
        </w:rPr>
        <w:t xml:space="preserve">Будет проводиться дальнейшая активная работа по улучшению благосостояния населения регионов через создание и реализацию кластеров, таких как туристический кластер, швейный кластер и другие.</w:t>
      </w:r>
    </w:p>
    <w:p>
      <w:pPr>
        <w:spacing w:after="60"/>
        <w:ind w:firstLine="567"/>
        <w:jc w:val="both"/>
      </w:pPr>
      <w:r>
        <w:rPr>
          <w:rFonts w:ascii="Arial" w:cs="Arial" w:eastAsia="Arial" w:hAnsi="Arial"/>
          <w:sz w:val="22"/>
          <w:szCs w:val="22"/>
        </w:rPr>
        <w:t xml:space="preserve">В региональном разрезе основная доля производства ВВП в 2021 году будет обеспечиваться за счет функционирования экономик города Бишкек, Чуйской, Иссык-Кульской и Джалал-Абадской областей, с удельным весом 78,7%, суммарный положительный вклад которых в рост ВВП республики составит 3,9 процентного пункта. Значительные доли в общем объеме производства ВВП Джалал-Абадской (11,5%) и Иссык-Кульской (11,6%)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2"/>
          <w:szCs w:val="22"/>
        </w:rPr>
        <w:t xml:space="preserve">Оставшаяся часть доли будет распределена между другими областями с удельным весом на уровне 21,3% - Ошской, Баткенской, Нарынской, Таласской областями и городом Ош.</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Вклады регионов в производство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2"/>
        <w:gridCol w:w="1391"/>
        <w:gridCol w:w="1391"/>
        <w:gridCol w:w="1308"/>
        <w:gridCol w:w="1308"/>
        <w:gridCol w:w="1308"/>
        <w:gridCol w:w="1308"/>
      </w:tblGrid>
      <w:tr>
        <w:tc>
          <w:tcPr>
            <w:tcW w:type="dxa" w:w="21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27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52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vMerge w:val="continue"/>
            <w:tcBorders>
              <w:top w:val="single" w:color="CBBF9E" w:sz="4"/>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вклад в рост ВВП, п.п.</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ВВП (республика)</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583161,9</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94,7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635040,7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105,0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5,0</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19125,1</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20387,4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0,13</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65110,1</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72766,0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0,67</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70772,8</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73923,8</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0,11</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14557,5</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15583,7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43830,6</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46926,1</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0,29</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14318,7</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15266,9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88407,8</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95342,5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0,68</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Бишкек</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232735,0</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257495,4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Ош</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34304,3</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37348,9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0,27</w:t>
            </w:r>
          </w:p>
        </w:tc>
      </w:tr>
    </w:tbl>
    <w:p>
      <w:pPr>
        <w:spacing w:after="60" w:before="200"/>
        <w:ind w:firstLine="567"/>
        <w:jc w:val="both"/>
      </w:pPr>
      <w:r>
        <w:rPr>
          <w:rFonts w:ascii="Arial" w:cs="Arial" w:eastAsia="Arial" w:hAnsi="Arial"/>
          <w:b/>
          <w:bCs/>
          <w:sz w:val="22"/>
          <w:szCs w:val="22"/>
        </w:rPr>
        <w:t xml:space="preserve">6.11. Социальная сфера</w:t>
      </w:r>
    </w:p>
    <w:p>
      <w:pPr>
        <w:spacing w:after="60"/>
        <w:ind w:firstLine="567"/>
        <w:jc w:val="both"/>
      </w:pPr>
      <w:r>
        <w:rPr>
          <w:rFonts w:ascii="Arial" w:cs="Arial" w:eastAsia="Arial" w:hAnsi="Arial"/>
          <w:sz w:val="22"/>
          <w:szCs w:val="22"/>
        </w:rPr>
        <w:t xml:space="preserve">Основные направления социального развития в среднесрочной перспективе будут ориентированы на повышение уровня и качества жизни населения, поддержку социально незащищенных категорий граждан и сокращение масштабов бедности, с учетом реальных возможностей государства.</w:t>
      </w:r>
    </w:p>
    <w:p>
      <w:pPr>
        <w:spacing w:after="60"/>
        <w:ind w:firstLine="567"/>
        <w:jc w:val="both"/>
      </w:pPr>
      <w:r>
        <w:rPr>
          <w:rFonts w:ascii="Arial" w:cs="Arial" w:eastAsia="Arial" w:hAnsi="Arial"/>
          <w:sz w:val="22"/>
          <w:szCs w:val="22"/>
        </w:rPr>
        <w:t xml:space="preserve">Меры будут направлены на создание условий для проживания в семейном окружении детей, находящихся в трудной жизненной ситуации, предотвращение жестокого обращения и насилия в отношении детей, оказание адресной и своевременной помощи семьям с детьми, стимулирование экономической активности трудоспособного населения и оказание содействия в выходе из трудной жизненной ситуации. Будет проведена работа по выявлению и устранению существующих пробелов в доступе к социальным услугам детей мигрантов.</w:t>
      </w:r>
    </w:p>
    <w:p>
      <w:pPr>
        <w:spacing w:after="60"/>
        <w:ind w:firstLine="567"/>
        <w:jc w:val="both"/>
      </w:pPr>
      <w:r>
        <w:rPr>
          <w:rFonts w:ascii="Arial" w:cs="Arial" w:eastAsia="Arial" w:hAnsi="Arial"/>
          <w:sz w:val="22"/>
          <w:szCs w:val="22"/>
        </w:rPr>
        <w:t xml:space="preserve">Будет продолжена работа по поэтапному изменению подходов к определению и решению проблем инвалидности в соответствии с международными стандартами и нормами. Будут внедряться новые типологии изготовления для людей с ограниченными возможностями здоровья средств индивидуального передвижения и средств индивидуального сурдоперевода.</w:t>
      </w:r>
    </w:p>
    <w:p>
      <w:pPr>
        <w:spacing w:after="60"/>
        <w:ind w:firstLine="567"/>
        <w:jc w:val="both"/>
      </w:pPr>
      <w:r>
        <w:rPr>
          <w:rFonts w:ascii="Arial" w:cs="Arial" w:eastAsia="Arial" w:hAnsi="Arial"/>
          <w:sz w:val="22"/>
          <w:szCs w:val="22"/>
        </w:rPr>
        <w:t xml:space="preserve">Будет принят комплекс мер по защите прав и улучшению качества жизни пожилых людей. Кроме того, будут приняты меры по развитию и расширению рынка социальных услуг путем внедрения новых механизмов, в том числе платных услуг и делегирования отдельных полномочий.</w:t>
      </w:r>
    </w:p>
    <w:p>
      <w:pPr>
        <w:spacing w:after="60"/>
        <w:ind w:firstLine="567"/>
        <w:jc w:val="both"/>
      </w:pPr>
      <w:r>
        <w:rPr>
          <w:rFonts w:ascii="Arial" w:cs="Arial" w:eastAsia="Arial" w:hAnsi="Arial"/>
          <w:sz w:val="22"/>
          <w:szCs w:val="22"/>
        </w:rPr>
        <w:t xml:space="preserve">В среднесрочной перспективе будет продолжена работа по оказанию содействия занятости населения и созданию условий для обеспечения достойным трудом. Будет проведен комплексный анализ будущей сферы труда, с учетом глобальных вызовов, и определены стратегические цели, приоритетные направления и задачи на среднесрочную перспективу.</w:t>
      </w:r>
    </w:p>
    <w:p>
      <w:pPr>
        <w:spacing w:after="60"/>
        <w:ind w:firstLine="567"/>
        <w:jc w:val="both"/>
      </w:pPr>
      <w:r>
        <w:rPr>
          <w:rFonts w:ascii="Arial" w:cs="Arial" w:eastAsia="Arial" w:hAnsi="Arial"/>
          <w:sz w:val="22"/>
          <w:szCs w:val="22"/>
        </w:rPr>
        <w:t xml:space="preserve">В целях реализации Программы деятельности Правительства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Жогорку Кенеша Кыргызской Республики от 17 июня 2020 года № 3876-VI), создания условий для внедрения достойных условий труда и развития эффективной и справедливой системы социальной защиты населения будет разработан проект Программы развития сферы труда и социальной защиты населения в Кыргызской Республике на 2020-2023 годы (далее - Программа).</w:t>
      </w:r>
    </w:p>
    <w:p>
      <w:pPr>
        <w:spacing w:after="60"/>
        <w:ind w:firstLine="567"/>
        <w:jc w:val="both"/>
      </w:pPr>
      <w:r>
        <w:rPr>
          <w:rFonts w:ascii="Arial" w:cs="Arial" w:eastAsia="Arial" w:hAnsi="Arial"/>
          <w:sz w:val="22"/>
          <w:szCs w:val="22"/>
        </w:rPr>
        <w:t xml:space="preserve">Основные цели Программы будут достигнуты в результате реализации конкретных задач по приоритетным направлениям:</w:t>
      </w:r>
    </w:p>
    <w:p>
      <w:pPr>
        <w:spacing w:after="60"/>
        <w:ind w:firstLine="567"/>
        <w:jc w:val="both"/>
      </w:pPr>
      <w:r>
        <w:rPr>
          <w:rFonts w:ascii="Arial" w:cs="Arial" w:eastAsia="Arial" w:hAnsi="Arial"/>
          <w:sz w:val="22"/>
          <w:szCs w:val="22"/>
        </w:rPr>
        <w:t xml:space="preserve">- создание условий для внедрения достойного труда (достойная заработная плата, достойная занятость, социальное партнерство);</w:t>
      </w:r>
    </w:p>
    <w:p>
      <w:pPr>
        <w:spacing w:after="60"/>
        <w:ind w:firstLine="567"/>
        <w:jc w:val="both"/>
      </w:pPr>
      <w:r>
        <w:rPr>
          <w:rFonts w:ascii="Arial" w:cs="Arial" w:eastAsia="Arial" w:hAnsi="Arial"/>
          <w:sz w:val="22"/>
          <w:szCs w:val="22"/>
        </w:rPr>
        <w:t xml:space="preserve">- создание условий для развития и укрепления института семьи, материнства, отцовства и детства, а также обеспечение минимального базового уровня социальной защиты, гарантированного государством;</w:t>
      </w:r>
    </w:p>
    <w:p>
      <w:pPr>
        <w:spacing w:after="60"/>
        <w:ind w:firstLine="567"/>
        <w:jc w:val="both"/>
      </w:pPr>
      <w:r>
        <w:rPr>
          <w:rFonts w:ascii="Arial" w:cs="Arial" w:eastAsia="Arial" w:hAnsi="Arial"/>
          <w:sz w:val="22"/>
          <w:szCs w:val="22"/>
        </w:rPr>
        <w:t xml:space="preserve">- создание экономических, правовых и институциональных условий, способствующих интеграции людей с ограниченными возможностями здоровья в общество;</w:t>
      </w:r>
    </w:p>
    <w:p>
      <w:pPr>
        <w:spacing w:after="60"/>
        <w:ind w:firstLine="567"/>
        <w:jc w:val="both"/>
      </w:pPr>
      <w:r>
        <w:rPr>
          <w:rFonts w:ascii="Arial" w:cs="Arial" w:eastAsia="Arial" w:hAnsi="Arial"/>
          <w:sz w:val="22"/>
          <w:szCs w:val="22"/>
        </w:rPr>
        <w:t xml:space="preserve">- обеспечение безопасной и достойной жизни пожилых граждан равноправно участвующих в политической, социальной экономической и культурной сферах;</w:t>
      </w:r>
    </w:p>
    <w:p>
      <w:pPr>
        <w:spacing w:after="60"/>
        <w:ind w:firstLine="567"/>
        <w:jc w:val="both"/>
      </w:pPr>
      <w:r>
        <w:rPr>
          <w:rFonts w:ascii="Arial" w:cs="Arial" w:eastAsia="Arial" w:hAnsi="Arial"/>
          <w:sz w:val="22"/>
          <w:szCs w:val="22"/>
        </w:rPr>
        <w:t xml:space="preserve">- повышение качества адресности и эффективности предоставляемых услуг населению путем цифровой трансформации всей системы.</w:t>
      </w:r>
    </w:p>
    <w:p>
      <w:pPr>
        <w:spacing w:after="60"/>
        <w:ind w:firstLine="567"/>
        <w:jc w:val="both"/>
      </w:pPr>
      <w:r>
        <w:rPr>
          <w:rFonts w:ascii="Arial" w:cs="Arial" w:eastAsia="Arial" w:hAnsi="Arial"/>
          <w:sz w:val="22"/>
          <w:szCs w:val="22"/>
        </w:rPr>
        <w:t xml:space="preserve">Наряду с этим, в целях повышения качества жизни пожилых граждан утвержден План мероприятий по повышению качества жизни пожилых граждан </w:t>
      </w:r>
      <w:r>
        <w:rPr>
          <w:rFonts w:ascii="Arial" w:cs="Arial" w:eastAsia="Arial" w:hAnsi="Arial"/>
          <w:sz w:val="22"/>
          <w:szCs w:val="22"/>
        </w:rPr>
        <w:t xml:space="preserve">в Кыргызской Республике на 2019-2025 годы (постановление Правительства Кыргызской Республики от 30 августа 2019 года № 442), который направлен на обеспечение равенства и недискриминации; реализацию мер по предотвращению жестокого обращения и насилия в отношении пожилых граждан; укрепление здоровья, повышение доступа пожилых граждан к качественным медицинским услугам через совершенствование системы охраны здоровья и продвижение активного долголетия; обеспечение доступности для пожилых граждан к государственным и муниципальным услугам путем развития рынка социальных услуг и расширения форм поддержки негосударственного сектора.</w:t>
      </w:r>
    </w:p>
    <w:p>
      <w:pPr>
        <w:spacing w:after="60"/>
        <w:ind w:firstLine="567"/>
        <w:jc w:val="both"/>
      </w:pPr>
      <w:r>
        <w:rPr>
          <w:rFonts w:ascii="Arial" w:cs="Arial" w:eastAsia="Arial" w:hAnsi="Arial"/>
          <w:sz w:val="22"/>
          <w:szCs w:val="22"/>
        </w:rPr>
        <w:t xml:space="preserve">В целях реформирования системы пенсионного обеспечения будет продолжена работа по дальнейшему совершенствованию системы государственного пенсионного обеспечения, обеспечению справедливости пенсионных выплат в зависимости от продолжительности финансового участия граждан в пенсионной системе, оптимизации доли социальных трансфертов из республиканского бюджета, адекватности получаемых размеров пенсий сумме перечисленных страховых взносов.</w:t>
      </w:r>
    </w:p>
    <w:p>
      <w:pPr>
        <w:spacing w:after="60"/>
        <w:ind w:firstLine="567"/>
        <w:jc w:val="both"/>
      </w:pPr>
      <w:r>
        <w:rPr>
          <w:rFonts w:ascii="Arial" w:cs="Arial" w:eastAsia="Arial" w:hAnsi="Arial"/>
          <w:sz w:val="22"/>
          <w:szCs w:val="22"/>
        </w:rPr>
        <w:t xml:space="preserve">Политика в сфере здравоохранения будет реализовываться в рамках Программы Правительства Кыргызской Республики по охране здоровья населения и развитию системы здравоохранения на 2019-2030 годы (постановление Правительства Кыргызской Республики от 20 декабря 2018 года № 600), направленной на улучшение показателей здоровья населения, предоставление качественных услуг, сокращение неравенства в отношении здоровья, обеспечение финансовой защиты.</w:t>
      </w:r>
    </w:p>
    <w:p>
      <w:pPr>
        <w:spacing w:after="60"/>
        <w:ind w:firstLine="567"/>
        <w:jc w:val="both"/>
      </w:pPr>
      <w:r>
        <w:rPr>
          <w:rFonts w:ascii="Arial" w:cs="Arial" w:eastAsia="Arial" w:hAnsi="Arial"/>
          <w:sz w:val="22"/>
          <w:szCs w:val="22"/>
        </w:rPr>
        <w:t xml:space="preserve">Наряду с этим, в связи с принимаемыми мерами по борьбе с распространением коронавирусной инфекции, особые усилия будут направлены на улучшение материально-технической базы организаций здравоохранения, проведение профилактических и лечебных мероприятий, усиление кадрового потенциала, а также внедрение информационных технологий в сферу здравоохранения.</w:t>
      </w:r>
    </w:p>
    <w:p>
      <w:pPr>
        <w:spacing w:after="60"/>
        <w:ind w:firstLine="567"/>
        <w:jc w:val="both"/>
      </w:pPr>
      <w:r>
        <w:rPr>
          <w:rFonts w:ascii="Arial" w:cs="Arial" w:eastAsia="Arial" w:hAnsi="Arial"/>
          <w:sz w:val="22"/>
          <w:szCs w:val="22"/>
        </w:rPr>
        <w:t xml:space="preserve">Основными планируемыми мероприятиями являются:</w:t>
      </w:r>
    </w:p>
    <w:p>
      <w:pPr>
        <w:spacing w:after="60"/>
        <w:ind w:firstLine="567"/>
        <w:jc w:val="both"/>
      </w:pPr>
      <w:r>
        <w:rPr>
          <w:rFonts w:ascii="Arial" w:cs="Arial" w:eastAsia="Arial" w:hAnsi="Arial"/>
          <w:sz w:val="22"/>
          <w:szCs w:val="22"/>
        </w:rPr>
        <w:t xml:space="preserve">- строительство быстровозводимых инфекционных больниц;</w:t>
      </w:r>
    </w:p>
    <w:p>
      <w:pPr>
        <w:spacing w:after="60"/>
        <w:ind w:firstLine="567"/>
        <w:jc w:val="both"/>
      </w:pPr>
      <w:r>
        <w:rPr>
          <w:rFonts w:ascii="Arial" w:cs="Arial" w:eastAsia="Arial" w:hAnsi="Arial"/>
          <w:sz w:val="22"/>
          <w:szCs w:val="22"/>
        </w:rPr>
        <w:t xml:space="preserve">- капитальный ремонт и перепрофилирование объектов здравоохранения в регионах;</w:t>
      </w:r>
    </w:p>
    <w:p>
      <w:pPr>
        <w:spacing w:after="60"/>
        <w:ind w:firstLine="567"/>
        <w:jc w:val="both"/>
      </w:pPr>
      <w:r>
        <w:rPr>
          <w:rFonts w:ascii="Arial" w:cs="Arial" w:eastAsia="Arial" w:hAnsi="Arial"/>
          <w:sz w:val="22"/>
          <w:szCs w:val="22"/>
        </w:rPr>
        <w:t xml:space="preserve">- оснащение новых инфекционных больниц и отремонтированных учреждений современным медицинским оборудованием;</w:t>
      </w:r>
    </w:p>
    <w:p>
      <w:pPr>
        <w:spacing w:after="60"/>
        <w:ind w:firstLine="567"/>
        <w:jc w:val="both"/>
      </w:pPr>
      <w:r>
        <w:rPr>
          <w:rFonts w:ascii="Arial" w:cs="Arial" w:eastAsia="Arial" w:hAnsi="Arial"/>
          <w:sz w:val="22"/>
          <w:szCs w:val="22"/>
        </w:rPr>
        <w:t xml:space="preserve">- закупка автомашин скорой медицинской помощи для организаций здравоохранения;</w:t>
      </w:r>
    </w:p>
    <w:p>
      <w:pPr>
        <w:spacing w:after="60"/>
        <w:ind w:firstLine="567"/>
        <w:jc w:val="both"/>
      </w:pPr>
      <w:r>
        <w:rPr>
          <w:rFonts w:ascii="Arial" w:cs="Arial" w:eastAsia="Arial" w:hAnsi="Arial"/>
          <w:sz w:val="22"/>
          <w:szCs w:val="22"/>
        </w:rPr>
        <w:t xml:space="preserve">- реализация различных проектов государственно-частного партнерства в сфере здравоохранения;</w:t>
      </w:r>
    </w:p>
    <w:p>
      <w:pPr>
        <w:spacing w:after="60"/>
        <w:ind w:firstLine="567"/>
        <w:jc w:val="both"/>
      </w:pPr>
      <w:r>
        <w:rPr>
          <w:rFonts w:ascii="Arial" w:cs="Arial" w:eastAsia="Arial" w:hAnsi="Arial"/>
          <w:sz w:val="22"/>
          <w:szCs w:val="22"/>
        </w:rPr>
        <w:t xml:space="preserve">- создание стратегического запаса лекарственных средств для лечения острозаразных инфекций;</w:t>
      </w:r>
    </w:p>
    <w:p>
      <w:pPr>
        <w:spacing w:after="60"/>
        <w:ind w:firstLine="567"/>
        <w:jc w:val="both"/>
      </w:pPr>
      <w:r>
        <w:rPr>
          <w:rFonts w:ascii="Arial" w:cs="Arial" w:eastAsia="Arial" w:hAnsi="Arial"/>
          <w:sz w:val="22"/>
          <w:szCs w:val="22"/>
        </w:rPr>
        <w:t xml:space="preserve">- активная работа с населением по информированию о методах профилактики, диагностики и лечения инфекционных заболеваний;</w:t>
      </w:r>
    </w:p>
    <w:p>
      <w:pPr>
        <w:spacing w:after="60"/>
        <w:ind w:firstLine="567"/>
        <w:jc w:val="both"/>
      </w:pPr>
      <w:r>
        <w:rPr>
          <w:rFonts w:ascii="Arial" w:cs="Arial" w:eastAsia="Arial" w:hAnsi="Arial"/>
          <w:sz w:val="22"/>
          <w:szCs w:val="22"/>
        </w:rPr>
        <w:t xml:space="preserve">- организация мероприятий по реабилитации медицинских работников, задействованных в борьбе с коронавирусной инфекцией СOVID-19;</w:t>
      </w:r>
    </w:p>
    <w:p>
      <w:pPr>
        <w:spacing w:after="60"/>
        <w:ind w:firstLine="567"/>
        <w:jc w:val="both"/>
      </w:pPr>
      <w:r>
        <w:rPr>
          <w:rFonts w:ascii="Arial" w:cs="Arial" w:eastAsia="Arial" w:hAnsi="Arial"/>
          <w:sz w:val="22"/>
          <w:szCs w:val="22"/>
        </w:rPr>
        <w:t xml:space="preserve">- создание резерва кадров медицинских работников.</w:t>
      </w:r>
    </w:p>
    <w:p>
      <w:pPr>
        <w:spacing w:after="60"/>
        <w:ind w:firstLine="567"/>
        <w:jc w:val="both"/>
      </w:pPr>
      <w:r>
        <w:rPr>
          <w:rFonts w:ascii="Arial" w:cs="Arial" w:eastAsia="Arial" w:hAnsi="Arial"/>
          <w:sz w:val="22"/>
          <w:szCs w:val="22"/>
        </w:rPr>
        <w:t xml:space="preserve">Основное внимание в сфере образования будет направлено на охват программами развития и обучения большинства детей предшкольного возраста, обеспечение доступа к качественному основному общему и среднему общему образованию для каждого, независимо от возраста, пола, этнической, религиозной принадлежности, места жительства, умственного и физического развития, социально-экономического статуса, развитие трудовых навыков в соответствии с современными требованиями рынка труда и запросами населения в удовлетворении собственных потребностей и интересов, развитие базы данных для информационного обеспечения образования и науки, внедрение системы мониторинга и качества образования.</w:t>
      </w:r>
    </w:p>
    <w:p>
      <w:pPr>
        <w:spacing w:after="60"/>
        <w:ind w:firstLine="567"/>
        <w:jc w:val="both"/>
      </w:pPr>
      <w:r>
        <w:rPr>
          <w:rFonts w:ascii="Arial" w:cs="Arial" w:eastAsia="Arial" w:hAnsi="Arial"/>
          <w:sz w:val="22"/>
          <w:szCs w:val="22"/>
        </w:rPr>
        <w:t xml:space="preserve">Кроме того, усиленные меры будут приняты в сфере цифровизации образования: создание цифровой инфраструктуры, организация соответствующих платформ и баз данных и расширение охвата Интернетом, что позволит улучшить доступность и качество образования для всех категорий учащихся, как в очном, так и дистанционном форматах обучения.</w:t>
      </w:r>
    </w:p>
    <w:p>
      <w:pPr>
        <w:spacing w:after="60"/>
        <w:ind w:firstLine="567"/>
        <w:jc w:val="both"/>
      </w:pPr>
      <w:r>
        <w:rPr>
          <w:rFonts w:ascii="Arial" w:cs="Arial" w:eastAsia="Arial" w:hAnsi="Arial"/>
          <w:sz w:val="22"/>
          <w:szCs w:val="22"/>
        </w:rPr>
        <w:t xml:space="preserve">Государственная миграционная политика, с учетом демографической ситуации в Кыргызской Республике, будет направлена на разработку и обеспечение реализации перспективных планов развития, способствующих росту занятости и постепенному увеличению числа городских жителей, в целях равномерного распределения населения по стране; проведение комплексной работы по оказанию помощи трудящимся-мигрантам до их отъезда из страны, во время пребывания за границей и по их возвращении; организацию процесса добровольного переселения кайрылманов в Кыргызскую Республику.</w:t>
      </w:r>
    </w:p>
    <w:p>
      <w:pPr>
        <w:spacing w:after="200" w:before="200"/>
        <w:jc w:val="center"/>
      </w:pPr>
      <w:r>
        <w:rPr>
          <w:rFonts w:ascii="Arial" w:cs="Arial" w:eastAsia="Arial" w:hAnsi="Arial"/>
          <w:b/>
          <w:bCs/>
          <w:sz w:val="22"/>
          <w:szCs w:val="22"/>
        </w:rPr>
        <w:t xml:space="preserve">7. Макроэкономический прогноз на 2022-2023 годы</w:t>
      </w:r>
    </w:p>
    <w:p>
      <w:pPr>
        <w:spacing w:after="60"/>
        <w:ind w:firstLine="567"/>
        <w:jc w:val="both"/>
      </w:pPr>
      <w:r>
        <w:rPr>
          <w:rFonts w:ascii="Arial" w:cs="Arial" w:eastAsia="Arial" w:hAnsi="Arial"/>
          <w:sz w:val="22"/>
          <w:szCs w:val="22"/>
        </w:rPr>
        <w:t xml:space="preserve">В 2022-2023 годах главными целями экономической политики будут сохранение положительных тенденций экономического роста,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2"/>
          <w:szCs w:val="22"/>
        </w:rPr>
        <w:t xml:space="preserve">Оценка прогнозных значений макроэкономических показателей на 2022-2023 годы основана на полной, успешной и своевременной реализации мер и инвестиционных проектов, заложенных в Программе деятельности Правительства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Жогорку Кенеша Кыргызской Республики от 17 июня 2020 года № 3876-VI) и их эффективном влиянии на экономику страны, где экономические преобразования позволят обеспечить ежегодный темп прироста ВВП не менее 3%, достижение которых требует активных действий от органов исполнительной власти по полной реализации крупных национальных проектов, эффективному управлению государственными активами страны, реформированию системы государственного регулирования для стимулирования всех отраслей экономики, созданию благоприятного инвестиционного климата, гибкой регуляторной политики в сфере предпринимательства, предсказуемость и стабильность законодательства.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Реальные вклады отраслей производства ВВП на 2022-2023 годы,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6"/>
        <w:gridCol w:w="1278"/>
        <w:gridCol w:w="1278"/>
        <w:gridCol w:w="1832"/>
        <w:gridCol w:w="1675"/>
        <w:gridCol w:w="1618"/>
      </w:tblGrid>
      <w:tr>
        <w:tc>
          <w:tcPr>
            <w:tcW w:type="dxa" w:w="24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 прогноз</w:t>
            </w:r>
          </w:p>
        </w:tc>
        <w:tc>
          <w:tcPr>
            <w:tcW w:type="dxa" w:w="12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 прогноз</w:t>
            </w:r>
          </w:p>
        </w:tc>
        <w:tc>
          <w:tcPr>
            <w:tcW w:type="dxa" w:w="1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Средний удельный вес на 2022-2023 годы</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Средний темп роста на 2022-2023 годы</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Вклад в прирост ВВП на 2022-2023 годы</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Услуги</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47,1</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Налоги на продукты и импорт</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ВВП,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r>
    </w:tbl>
    <w:p>
      <w:pPr>
        <w:spacing w:after="60" w:before="120"/>
        <w:ind w:firstLine="567"/>
        <w:jc w:val="both"/>
      </w:pPr>
      <w:r>
        <w:rPr>
          <w:rFonts w:ascii="Arial" w:cs="Arial" w:eastAsia="Arial" w:hAnsi="Arial"/>
          <w:sz w:val="22"/>
          <w:szCs w:val="22"/>
        </w:rPr>
        <w:t xml:space="preserve">Исходя из ожидаемых показателей социально-экономического развития Кыргызской Республики в 2020 году и прогнозируемых показателей на 2021 год, среднегодовой реальный прирост ВВП на 2022-2023 годы прогнозируется на уровне 3,6%.</w:t>
      </w:r>
    </w:p>
    <w:p>
      <w:pPr>
        <w:spacing w:after="60"/>
        <w:ind w:firstLine="567"/>
        <w:jc w:val="both"/>
      </w:pPr>
      <w:r>
        <w:rPr>
          <w:rFonts w:ascii="Arial" w:cs="Arial" w:eastAsia="Arial" w:hAnsi="Arial"/>
          <w:sz w:val="22"/>
          <w:szCs w:val="22"/>
        </w:rPr>
        <w:t xml:space="preserve">В отраслевом разрезе в 2022-2023 годах прогнозируемые среднегодовые темпы прироста составят: в сельском хозяйстве - 3,2%, в промышленности - (-)1,2%, строительстве - 9,6%, сфере предоставления услуг - 4,4%.</w:t>
      </w:r>
    </w:p>
    <w:p>
      <w:pPr>
        <w:spacing w:after="60"/>
        <w:ind w:firstLine="567"/>
        <w:jc w:val="both"/>
      </w:pPr>
      <w:r>
        <w:rPr>
          <w:rFonts w:ascii="Arial" w:cs="Arial" w:eastAsia="Arial" w:hAnsi="Arial"/>
          <w:sz w:val="22"/>
          <w:szCs w:val="22"/>
        </w:rPr>
        <w:t xml:space="preserve">В целом на период 2022-2023 годов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направленных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2"/>
          <w:szCs w:val="22"/>
        </w:rPr>
        <w:t xml:space="preserve">Во всех отраслях экономики прогнозируются положительные темпы роста.</w:t>
      </w:r>
    </w:p>
    <w:p>
      <w:pPr>
        <w:spacing w:after="60"/>
        <w:ind w:firstLine="567"/>
        <w:jc w:val="both"/>
      </w:pPr>
      <w:r>
        <w:rPr>
          <w:rFonts w:ascii="Arial" w:cs="Arial" w:eastAsia="Arial" w:hAnsi="Arial"/>
          <w:sz w:val="22"/>
          <w:szCs w:val="22"/>
        </w:rPr>
        <w:t xml:space="preserve">В 2022-2023 годы прогнозируется увеличение реальных темпов прироста сельского хозяйства в среднем на 3,2%, за счет принимаемых государством и частным сектором мер по увеличению урожайности растениеводства и продуктивности животноводства. Будут реализованы намеченные мероприятия для достижения реальных темпов роста сельскохозяйственной отрасли:</w:t>
      </w:r>
    </w:p>
    <w:p>
      <w:pPr>
        <w:spacing w:after="60"/>
        <w:ind w:firstLine="567"/>
        <w:jc w:val="both"/>
      </w:pPr>
      <w:r>
        <w:rPr>
          <w:rFonts w:ascii="Arial" w:cs="Arial" w:eastAsia="Arial" w:hAnsi="Arial"/>
          <w:sz w:val="22"/>
          <w:szCs w:val="22"/>
        </w:rPr>
        <w:t xml:space="preserve">- оптимизация посевных площадей путем систематического увеличенья посевов площадей тех культур, которые пользуются наибольшим спросом;</w:t>
      </w:r>
    </w:p>
    <w:p>
      <w:pPr>
        <w:spacing w:after="60"/>
        <w:ind w:firstLine="567"/>
        <w:jc w:val="both"/>
      </w:pPr>
      <w:r>
        <w:rPr>
          <w:rFonts w:ascii="Arial" w:cs="Arial" w:eastAsia="Arial" w:hAnsi="Arial"/>
          <w:sz w:val="22"/>
          <w:szCs w:val="22"/>
        </w:rPr>
        <w:t xml:space="preserve">- активное использование систем капельного орошения;</w:t>
      </w:r>
    </w:p>
    <w:p>
      <w:pPr>
        <w:spacing w:after="60"/>
        <w:ind w:firstLine="567"/>
        <w:jc w:val="both"/>
      </w:pPr>
      <w:r>
        <w:rPr>
          <w:rFonts w:ascii="Arial" w:cs="Arial" w:eastAsia="Arial" w:hAnsi="Arial"/>
          <w:sz w:val="22"/>
          <w:szCs w:val="22"/>
        </w:rPr>
        <w:t xml:space="preserve">- дальнейшее развитие тепличных хозяйств;</w:t>
      </w:r>
    </w:p>
    <w:p>
      <w:pPr>
        <w:spacing w:after="60"/>
        <w:ind w:firstLine="567"/>
        <w:jc w:val="both"/>
      </w:pPr>
      <w:r>
        <w:rPr>
          <w:rFonts w:ascii="Arial" w:cs="Arial" w:eastAsia="Arial" w:hAnsi="Arial"/>
          <w:sz w:val="22"/>
          <w:szCs w:val="22"/>
        </w:rPr>
        <w:t xml:space="preserve">-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60"/>
        <w:ind w:firstLine="567"/>
        <w:jc w:val="both"/>
      </w:pPr>
      <w:r>
        <w:rPr>
          <w:rFonts w:ascii="Arial" w:cs="Arial" w:eastAsia="Arial" w:hAnsi="Arial"/>
          <w:sz w:val="22"/>
          <w:szCs w:val="22"/>
        </w:rPr>
        <w:t xml:space="preserve">- продолжение поддержки сельхозпроизводителей со стороны государства по действующим кредитным и лизинговым программам;</w:t>
      </w:r>
    </w:p>
    <w:p>
      <w:pPr>
        <w:spacing w:after="60"/>
        <w:ind w:firstLine="567"/>
        <w:jc w:val="both"/>
      </w:pPr>
      <w:r>
        <w:rPr>
          <w:rFonts w:ascii="Arial" w:cs="Arial" w:eastAsia="Arial" w:hAnsi="Arial"/>
          <w:sz w:val="22"/>
          <w:szCs w:val="22"/>
        </w:rPr>
        <w:t xml:space="preserve">- оптимизация производственных процессов и управления, сокращение энергетических и ресурсных затрат в сельском хозяйстве.</w:t>
      </w:r>
    </w:p>
    <w:p>
      <w:pPr>
        <w:spacing w:after="60"/>
        <w:ind w:firstLine="567"/>
        <w:jc w:val="both"/>
      </w:pPr>
      <w:r>
        <w:rPr>
          <w:rFonts w:ascii="Arial" w:cs="Arial" w:eastAsia="Arial" w:hAnsi="Arial"/>
          <w:sz w:val="22"/>
          <w:szCs w:val="22"/>
        </w:rPr>
        <w:t xml:space="preserve">Прирост промышленного производства в 2022-2023 годах прогнозируется в среднем за год на уровне 98,8%. Такое снижение обусловлено снижением объемов производства на месторождении Кумтор в 1,4 раза в 2023 году.</w:t>
      </w:r>
    </w:p>
    <w:p>
      <w:pPr>
        <w:spacing w:after="60"/>
        <w:ind w:firstLine="567"/>
        <w:jc w:val="both"/>
      </w:pPr>
      <w:r>
        <w:rPr>
          <w:rFonts w:ascii="Arial" w:cs="Arial" w:eastAsia="Arial" w:hAnsi="Arial"/>
          <w:sz w:val="22"/>
          <w:szCs w:val="22"/>
        </w:rPr>
        <w:t xml:space="preserve">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Талды-Булак Левобережный, Бозымчак, Иштамберди, Кара-Казык, Джеруй, Чаарат.</w:t>
      </w:r>
    </w:p>
    <w:p>
      <w:pPr>
        <w:spacing w:after="60"/>
        <w:ind w:firstLine="567"/>
        <w:jc w:val="both"/>
      </w:pPr>
      <w:r>
        <w:rPr>
          <w:rFonts w:ascii="Arial" w:cs="Arial" w:eastAsia="Arial" w:hAnsi="Arial"/>
          <w:sz w:val="22"/>
          <w:szCs w:val="22"/>
        </w:rPr>
        <w:t xml:space="preserve">На месторождении Кумтор прогнозируется снижение объемов производства основных металлов в 2023 году по сравнению с 2022 годом согласно производственному плану предприятия почти на 40%.</w:t>
      </w:r>
    </w:p>
    <w:p>
      <w:pPr>
        <w:spacing w:after="60"/>
        <w:ind w:firstLine="567"/>
        <w:jc w:val="both"/>
      </w:pPr>
      <w:r>
        <w:rPr>
          <w:rFonts w:ascii="Arial" w:cs="Arial" w:eastAsia="Arial" w:hAnsi="Arial"/>
          <w:sz w:val="22"/>
          <w:szCs w:val="22"/>
        </w:rPr>
        <w:t xml:space="preserve">Прогнозируется наращивание объемов производства пищевых продуктов (включая напитки) в среднем на 4,7% в год; прирост объемов текстильного производства; производства одежды и обуви, кожи и прочих кожаных изделий в среднем на 5,1% в год; увеличение производства кокса и очищенных нефтепродуктов в среднем на 12,0% в год; рост производства строительных материалов в среднем на 2,7% в год; увеличение производства фармацевтической продукции в среднем на 9,5% в год.</w:t>
      </w:r>
    </w:p>
    <w:p>
      <w:pPr>
        <w:spacing w:after="60"/>
        <w:ind w:firstLine="567"/>
        <w:jc w:val="both"/>
      </w:pPr>
      <w:r>
        <w:rPr>
          <w:rFonts w:ascii="Arial" w:cs="Arial" w:eastAsia="Arial" w:hAnsi="Arial"/>
          <w:sz w:val="22"/>
          <w:szCs w:val="22"/>
        </w:rPr>
        <w:t xml:space="preserve">Прогнозируется увеличение объемов обеспечения электроэнергией, газом, паром и кондиционированным воздухом в среднем на 3,9% в год. Выработка электроэнергии в 2023 году прогнозируется в объеме 16040,2 млн. кВтч, что больше на 778 млн. кВтч по сравнению с 2021 годом, которая рассчитана с учетом среднемноголетней приточности реки Нарын в створе Токтогульского гидроузла.</w:t>
      </w:r>
    </w:p>
    <w:p>
      <w:pPr>
        <w:spacing w:after="60"/>
        <w:ind w:firstLine="567"/>
        <w:jc w:val="both"/>
      </w:pPr>
      <w:r>
        <w:rPr>
          <w:rFonts w:ascii="Arial" w:cs="Arial" w:eastAsia="Arial" w:hAnsi="Arial"/>
          <w:sz w:val="22"/>
          <w:szCs w:val="22"/>
        </w:rPr>
        <w:t xml:space="preserve">В 2022-2023 годах приоритетными направлениями развития строительной отрасли будут:</w:t>
      </w:r>
    </w:p>
    <w:p>
      <w:pPr>
        <w:spacing w:after="60"/>
        <w:ind w:firstLine="567"/>
        <w:jc w:val="both"/>
      </w:pPr>
      <w:r>
        <w:rPr>
          <w:rFonts w:ascii="Arial" w:cs="Arial" w:eastAsia="Arial" w:hAnsi="Arial"/>
          <w:sz w:val="22"/>
          <w:szCs w:val="22"/>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2"/>
          <w:szCs w:val="22"/>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2"/>
          <w:szCs w:val="22"/>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2"/>
          <w:szCs w:val="22"/>
        </w:rPr>
        <w:t xml:space="preserve">- реабилитация и сохранение автомобильных дорог, создание либеральных, безопасных международных транспортных коридоров, в том числе применение новых технологий в проектировании и строительстве дорог;</w:t>
      </w:r>
    </w:p>
    <w:p>
      <w:pPr>
        <w:spacing w:after="60"/>
        <w:ind w:firstLine="567"/>
        <w:jc w:val="both"/>
      </w:pPr>
      <w:r>
        <w:rPr>
          <w:rFonts w:ascii="Arial" w:cs="Arial" w:eastAsia="Arial" w:hAnsi="Arial"/>
          <w:sz w:val="22"/>
          <w:szCs w:val="22"/>
        </w:rPr>
        <w:t xml:space="preserve">- широкое применение механизмов государственно-частного партнерства в строительной отрасли;</w:t>
      </w:r>
    </w:p>
    <w:p>
      <w:pPr>
        <w:spacing w:after="60"/>
        <w:ind w:firstLine="567"/>
        <w:jc w:val="both"/>
      </w:pPr>
      <w:r>
        <w:rPr>
          <w:rFonts w:ascii="Arial" w:cs="Arial" w:eastAsia="Arial" w:hAnsi="Arial"/>
          <w:sz w:val="22"/>
          <w:szCs w:val="22"/>
        </w:rPr>
        <w:t xml:space="preserve">- привлечение инвестиций на строительство и реконструкцию следующих объектов: Камбаратинская ГЭС-1, Верхне-Нарынский каскад ГЭС и другие генерирующие объекты.</w:t>
      </w:r>
    </w:p>
    <w:p>
      <w:pPr>
        <w:spacing w:after="60"/>
        <w:ind w:firstLine="567"/>
        <w:jc w:val="both"/>
      </w:pPr>
      <w:r>
        <w:rPr>
          <w:rFonts w:ascii="Arial" w:cs="Arial" w:eastAsia="Arial" w:hAnsi="Arial"/>
          <w:sz w:val="22"/>
          <w:szCs w:val="22"/>
        </w:rPr>
        <w:t xml:space="preserve">Общий объем капитальных вложений из всех источников финансирования в 2022-2023 годах возрастет в среднем на 12,9% (с 221,6 млрд. сомов в 2022 году до 255,5 млрд. сомов - в 2023 году). Структура капитальных вложений относительно прогнозируемой в 2021 году изменится в сторону снижения доли внутренних инвестиций до 67,3% общего объема капитальных вложений в 2023 году и, соответственно, увеличения доли внешних инвестиций до 32,7%, по причине увеличения объемов иностранных кредитов в стране.</w:t>
      </w:r>
    </w:p>
    <w:p>
      <w:pPr>
        <w:spacing w:after="60"/>
        <w:ind w:firstLine="567"/>
        <w:jc w:val="both"/>
      </w:pPr>
      <w:r>
        <w:rPr>
          <w:rFonts w:ascii="Arial" w:cs="Arial" w:eastAsia="Arial" w:hAnsi="Arial"/>
          <w:sz w:val="22"/>
          <w:szCs w:val="22"/>
        </w:rPr>
        <w:t xml:space="preserve">В строительной отрасли прогнозируется темп реального прироста на уровне 9,6% в среднем за год. Вклад строительной отрасли в прирост ВВП составит в среднем 1,0 процентного пункта.</w:t>
      </w:r>
    </w:p>
    <w:p>
      <w:pPr>
        <w:spacing w:after="60"/>
        <w:ind w:firstLine="567"/>
        <w:jc w:val="both"/>
      </w:pPr>
      <w:r>
        <w:rPr>
          <w:rFonts w:ascii="Arial" w:cs="Arial" w:eastAsia="Arial" w:hAnsi="Arial"/>
          <w:sz w:val="22"/>
          <w:szCs w:val="22"/>
        </w:rPr>
        <w:t xml:space="preserve">В 2022-2023 годах рост отраслей услуг прогнозируется в среднем на уровне 104,4% в год. Развитие экономики республики в 2022-2023 годах вернется к уровням докризисного периода 2020 года. Постепенное восстановление темпов экономического развития стран - основных торговых партнеров приведет к росту притока денежных переводов мигрантов.</w:t>
      </w:r>
    </w:p>
    <w:p>
      <w:pPr>
        <w:spacing w:after="60"/>
        <w:ind w:firstLine="567"/>
        <w:jc w:val="both"/>
      </w:pPr>
      <w:r>
        <w:rPr>
          <w:rFonts w:ascii="Arial" w:cs="Arial" w:eastAsia="Arial" w:hAnsi="Arial"/>
          <w:sz w:val="22"/>
          <w:szCs w:val="22"/>
        </w:rPr>
        <w:t xml:space="preserve">Восстановление работы малого и среднего бизнеса приведет к росту занятости и повышению благосостояния населения.</w:t>
      </w:r>
    </w:p>
    <w:p>
      <w:pPr>
        <w:spacing w:after="60"/>
        <w:ind w:firstLine="567"/>
        <w:jc w:val="both"/>
      </w:pPr>
      <w:r>
        <w:rPr>
          <w:rFonts w:ascii="Arial" w:cs="Arial" w:eastAsia="Arial" w:hAnsi="Arial"/>
          <w:sz w:val="22"/>
          <w:szCs w:val="22"/>
        </w:rPr>
        <w:t xml:space="preserve">Эти факторы повлияют на рост объемов оптово-розничной торговли, при этом среднегодовой темп роста прогнозируется на уровне 4,6%.</w:t>
      </w:r>
    </w:p>
    <w:p>
      <w:pPr>
        <w:spacing w:after="60"/>
        <w:ind w:firstLine="567"/>
        <w:jc w:val="both"/>
      </w:pPr>
      <w:r>
        <w:rPr>
          <w:rFonts w:ascii="Arial" w:cs="Arial" w:eastAsia="Arial" w:hAnsi="Arial"/>
          <w:sz w:val="22"/>
          <w:szCs w:val="22"/>
        </w:rPr>
        <w:t xml:space="preserve">Оживление транспортных услуг приведет к увеличению роста торговли горюче-смазочными материалами и запасными частями.</w:t>
      </w:r>
    </w:p>
    <w:p>
      <w:pPr>
        <w:spacing w:after="60"/>
        <w:ind w:firstLine="567"/>
        <w:jc w:val="both"/>
      </w:pPr>
      <w:r>
        <w:rPr>
          <w:rFonts w:ascii="Arial" w:cs="Arial" w:eastAsia="Arial" w:hAnsi="Arial"/>
          <w:sz w:val="22"/>
          <w:szCs w:val="22"/>
        </w:rPr>
        <w:t xml:space="preserve">Восстановится работа по реализации крупных национальных проектов отложенных на 2020-2021 годы, что даст дополнительный толчок к развитию многих видов услуг.</w:t>
      </w:r>
    </w:p>
    <w:p>
      <w:pPr>
        <w:spacing w:after="60"/>
        <w:ind w:firstLine="567"/>
        <w:jc w:val="both"/>
      </w:pPr>
      <w:r>
        <w:rPr>
          <w:rFonts w:ascii="Arial" w:cs="Arial" w:eastAsia="Arial" w:hAnsi="Arial"/>
          <w:sz w:val="22"/>
          <w:szCs w:val="22"/>
        </w:rPr>
        <w:t xml:space="preserve">Увеличение притока денежных переводов и денежных доходов населения скажется на росте объемов услуг в сфере недвижимости, финансового посредничества, образовании и др.</w:t>
      </w:r>
    </w:p>
    <w:p>
      <w:pPr>
        <w:spacing w:after="60"/>
        <w:ind w:firstLine="567"/>
        <w:jc w:val="both"/>
      </w:pPr>
      <w:r>
        <w:rPr>
          <w:rFonts w:ascii="Arial" w:cs="Arial" w:eastAsia="Arial" w:hAnsi="Arial"/>
          <w:sz w:val="22"/>
          <w:szCs w:val="22"/>
        </w:rPr>
        <w:t xml:space="preserve">Выполнение мероприятий, заложенных в Программе Правительства Кыргызской Республики по развитию сферы туризма на 2019-2023 годы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31 января 2019 года № 36), будет способствовать достижению темпов роста туристической отрасли в 2022-2023 годах в среднем до 6,5%. Услуги туризма вырастут за счет курортно-рекреационного туризма, горно-приключенческого туризма, культурного туризма. Инструментом развития туризма является формирование туристических кластеров, включая горные кластеры. Реализация туристического потенциала страны и расширение сервисных услуг будут иметь положительный мультипликативный эффект на все отрасли услуг.</w:t>
      </w:r>
    </w:p>
    <w:p>
      <w:pPr>
        <w:spacing w:after="60"/>
        <w:ind w:firstLine="567"/>
        <w:jc w:val="both"/>
      </w:pPr>
      <w:r>
        <w:rPr>
          <w:rFonts w:ascii="Arial" w:cs="Arial" w:eastAsia="Arial" w:hAnsi="Arial"/>
          <w:sz w:val="22"/>
          <w:szCs w:val="22"/>
        </w:rPr>
        <w:t xml:space="preserve">Рост объемов туристической отрасли будет способствовать росту услуг гостиниц и ресторанов, среднегодовой темп роста в 2022-2023 годах прогнозируется на уровне 104,7%.</w:t>
      </w:r>
    </w:p>
    <w:p>
      <w:pPr>
        <w:spacing w:after="60"/>
        <w:ind w:firstLine="567"/>
        <w:jc w:val="both"/>
      </w:pPr>
      <w:r>
        <w:rPr>
          <w:rFonts w:ascii="Arial" w:cs="Arial" w:eastAsia="Arial" w:hAnsi="Arial"/>
          <w:sz w:val="22"/>
          <w:szCs w:val="22"/>
        </w:rPr>
        <w:t xml:space="preserve">Возможными рисками, которые могут привести к недостижению заложенных показателей в сфере услуг, являются:</w:t>
      </w:r>
    </w:p>
    <w:p>
      <w:pPr>
        <w:spacing w:after="60"/>
        <w:ind w:firstLine="567"/>
        <w:jc w:val="both"/>
      </w:pPr>
      <w:r>
        <w:rPr>
          <w:rFonts w:ascii="Arial" w:cs="Arial" w:eastAsia="Arial" w:hAnsi="Arial"/>
          <w:sz w:val="22"/>
          <w:szCs w:val="22"/>
        </w:rPr>
        <w:t xml:space="preserve">- невыполнение запланированных объемов в сфере торговли из-за сокращения импорта продукции из третьих стран (Китай, Турция), связанного с барьерами со стороны государств - членов ЕАЭС, вследствие чего торговые потоки потребительских товаров из КНР будут переориентированы на другие маршруты (Китайская Народная Республика - Республика Казахстан - Российская Федерация);</w:t>
      </w:r>
    </w:p>
    <w:p>
      <w:pPr>
        <w:spacing w:after="60"/>
        <w:ind w:firstLine="567"/>
        <w:jc w:val="both"/>
      </w:pPr>
      <w:r>
        <w:rPr>
          <w:rFonts w:ascii="Arial" w:cs="Arial" w:eastAsia="Arial" w:hAnsi="Arial"/>
          <w:sz w:val="22"/>
          <w:szCs w:val="22"/>
        </w:rPr>
        <w:t xml:space="preserve">- медленное восстановление работы субъектов малого и среднего бизнеса в связи с потерей рынков из-за вспышки коронавируса в 2020 году;</w:t>
      </w:r>
    </w:p>
    <w:p>
      <w:pPr>
        <w:spacing w:after="60"/>
        <w:ind w:firstLine="567"/>
        <w:jc w:val="both"/>
      </w:pPr>
      <w:r>
        <w:rPr>
          <w:rFonts w:ascii="Arial" w:cs="Arial" w:eastAsia="Arial" w:hAnsi="Arial"/>
          <w:sz w:val="22"/>
          <w:szCs w:val="22"/>
        </w:rPr>
        <w:t xml:space="preserve">- низкий уровень оснащенности отечественных перевозчиков, отсутствие соответствующего авиапарка у отечественных авиаперевозчиков, недостаточный уровень оснащенности подвижным составом ГП "Национальная компания "Кыргыз темир жолу";</w:t>
      </w:r>
    </w:p>
    <w:p>
      <w:pPr>
        <w:spacing w:after="60"/>
        <w:ind w:firstLine="567"/>
        <w:jc w:val="both"/>
      </w:pPr>
      <w:r>
        <w:rPr>
          <w:rFonts w:ascii="Arial" w:cs="Arial" w:eastAsia="Arial" w:hAnsi="Arial"/>
          <w:sz w:val="22"/>
          <w:szCs w:val="22"/>
        </w:rPr>
        <w:t xml:space="preserve">- нерешенность вопросов о соответствующем оснащении санаторных комплексов, что будет сдерживать рост оказываемых услуг;</w:t>
      </w:r>
    </w:p>
    <w:p>
      <w:pPr>
        <w:spacing w:after="60"/>
        <w:ind w:firstLine="567"/>
        <w:jc w:val="both"/>
      </w:pPr>
      <w:r>
        <w:rPr>
          <w:rFonts w:ascii="Arial" w:cs="Arial" w:eastAsia="Arial" w:hAnsi="Arial"/>
          <w:sz w:val="22"/>
          <w:szCs w:val="22"/>
        </w:rPr>
        <w:t xml:space="preserve">- технологическая отсталость предприятий, оказывающих услуги;</w:t>
      </w:r>
    </w:p>
    <w:p>
      <w:pPr>
        <w:spacing w:after="60"/>
        <w:ind w:firstLine="567"/>
        <w:jc w:val="both"/>
      </w:pPr>
      <w:r>
        <w:rPr>
          <w:rFonts w:ascii="Arial" w:cs="Arial" w:eastAsia="Arial" w:hAnsi="Arial"/>
          <w:sz w:val="22"/>
          <w:szCs w:val="22"/>
        </w:rPr>
        <w:t xml:space="preserve">- замедление геологоразведочных работ, из-за переориентации некоторых компаний на более успешные проекты в других странах мира, из-за улучшения экономической ситуации в них;</w:t>
      </w:r>
    </w:p>
    <w:p>
      <w:pPr>
        <w:spacing w:after="60"/>
        <w:ind w:firstLine="567"/>
        <w:jc w:val="both"/>
      </w:pPr>
      <w:r>
        <w:rPr>
          <w:rFonts w:ascii="Arial" w:cs="Arial" w:eastAsia="Arial" w:hAnsi="Arial"/>
          <w:sz w:val="22"/>
          <w:szCs w:val="22"/>
        </w:rPr>
        <w:t xml:space="preserve">- волатильность курса национальной валюты.</w:t>
      </w:r>
    </w:p>
    <w:p>
      <w:pPr>
        <w:spacing w:after="60"/>
        <w:ind w:firstLine="567"/>
        <w:jc w:val="both"/>
      </w:pPr>
      <w:r>
        <w:rPr>
          <w:rFonts w:ascii="Arial" w:cs="Arial" w:eastAsia="Arial" w:hAnsi="Arial"/>
          <w:sz w:val="22"/>
          <w:szCs w:val="22"/>
        </w:rPr>
        <w:t xml:space="preserve">Основными факторами, влияющими на развитие внешнеэкономической деятельности в 2022-2023 годах, будут: преимущество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т.ч. туристических.</w:t>
      </w:r>
    </w:p>
    <w:p>
      <w:pPr>
        <w:spacing w:after="60"/>
        <w:ind w:firstLine="567"/>
        <w:jc w:val="both"/>
      </w:pPr>
      <w:r>
        <w:rPr>
          <w:rFonts w:ascii="Arial" w:cs="Arial" w:eastAsia="Arial" w:hAnsi="Arial"/>
          <w:sz w:val="22"/>
          <w:szCs w:val="22"/>
        </w:rPr>
        <w:t xml:space="preserve">В рамках ЕАЭС будет продолжена работа по расширению торгового сотрудничества с третьими странами, что обеспечит преференциальный доступ отечественных товаров на внешние рынки.</w:t>
      </w:r>
    </w:p>
    <w:p>
      <w:pPr>
        <w:spacing w:after="60"/>
        <w:ind w:firstLine="567"/>
        <w:jc w:val="both"/>
      </w:pPr>
      <w:r>
        <w:rPr>
          <w:rFonts w:ascii="Arial" w:cs="Arial" w:eastAsia="Arial" w:hAnsi="Arial"/>
          <w:sz w:val="22"/>
          <w:szCs w:val="22"/>
        </w:rPr>
        <w:t xml:space="preserve">Таможенно-тарифная политика ЕАЭС будет направлена на поддержание рационального соотношения ввоза и вывоза товаров, повышение конкурентоспособности производителей, улучшение товарной структуры внешней торговли, стимулирование инвестиционных процессов в экономике, в том числе привлечение прямых иностранных инвестиций, а также будет способствовать сдерживанию роста внутренних цен, обеспечению фискальной функции бюджета, сокращению прямых и косвенных издержек операторов внешнеэкономической деятельности.</w:t>
      </w:r>
    </w:p>
    <w:p>
      <w:pPr>
        <w:spacing w:after="60"/>
        <w:ind w:firstLine="567"/>
        <w:jc w:val="both"/>
      </w:pPr>
      <w:r>
        <w:rPr>
          <w:rFonts w:ascii="Arial" w:cs="Arial" w:eastAsia="Arial" w:hAnsi="Arial"/>
          <w:sz w:val="22"/>
          <w:szCs w:val="22"/>
        </w:rPr>
        <w:t xml:space="preserve">Рост объемов внешнеторгового оборота в 2022-2023 годах прогнозируется в среднем на 4,6% ежегодно и в 2023 году достигнет уровня 7150,0 млн. долл. США. Номинальный рост объема экспорта товаров в 2022-2023 годах прогнозируется в среднем на 0,7%, а импорта - на 6,4%. Как и прежде, основной статьей экспорта будет золото, которое занимает в структуре экспорта около 30%. Снижение экспорта золота связано с сокращением производства золота на основном месторождении Кумтор.</w:t>
      </w:r>
    </w:p>
    <w:p>
      <w:pPr>
        <w:spacing w:after="60"/>
        <w:ind w:firstLine="567"/>
        <w:jc w:val="both"/>
      </w:pPr>
      <w:r>
        <w:rPr>
          <w:rFonts w:ascii="Arial" w:cs="Arial" w:eastAsia="Arial" w:hAnsi="Arial"/>
          <w:sz w:val="22"/>
          <w:szCs w:val="22"/>
        </w:rPr>
        <w:t xml:space="preserve">Политика социального развития в 2022-2023 годах также будет сконцентрирована на выполнении в полном объеме гарантированных социальных обязательств государства,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2"/>
          <w:szCs w:val="22"/>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60"/>
        <w:ind w:firstLine="567"/>
        <w:jc w:val="both"/>
      </w:pPr>
      <w:r>
        <w:rPr>
          <w:rFonts w:ascii="Arial" w:cs="Arial" w:eastAsia="Arial" w:hAnsi="Arial"/>
          <w:sz w:val="22"/>
          <w:szCs w:val="22"/>
        </w:rPr>
        <w:t xml:space="preserve">Политика в сфере пенсионного обеспечения будет реализовываться в рамках Концепции развития системы пенсионного обеспечения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24 ноября 2014 года № 670). 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для дальнейшего улучшения страховых принципов в пенсионной системе и модернизацию страховой составляющей пенсионной системы с учетом потребностей различных возрастных групп пенсионеров.</w:t>
      </w:r>
    </w:p>
    <w:p>
      <w:pPr>
        <w:spacing w:after="60"/>
        <w:ind w:firstLine="567"/>
        <w:jc w:val="both"/>
      </w:pPr>
      <w:r>
        <w:rPr>
          <w:rFonts w:ascii="Arial" w:cs="Arial" w:eastAsia="Arial" w:hAnsi="Arial"/>
          <w:sz w:val="22"/>
          <w:szCs w:val="22"/>
        </w:rPr>
        <w:t xml:space="preserve">Исходя из прогнозируемых макроэкономических параметров, социальные показатели в 2022-2023 годах будут складываться следующим образом.</w:t>
      </w:r>
    </w:p>
    <w:p>
      <w:pPr>
        <w:spacing w:after="60"/>
        <w:ind w:firstLine="567"/>
        <w:jc w:val="both"/>
      </w:pPr>
      <w:r>
        <w:rPr>
          <w:rFonts w:ascii="Arial" w:cs="Arial" w:eastAsia="Arial" w:hAnsi="Arial"/>
          <w:sz w:val="22"/>
          <w:szCs w:val="22"/>
        </w:rPr>
        <w:t xml:space="preserve">Номинальный прирост денежных доходов населения в 2022-2023 годах прогнозируется в среднем на уровне 5,0%. В структуре денежных доходов номинальный размер средней заработной платы возрастет в среднем на 4,4% и составит в 2023 году 20332,8 сома.</w:t>
      </w:r>
    </w:p>
    <w:p>
      <w:pPr>
        <w:spacing w:after="60"/>
        <w:ind w:firstLine="567"/>
        <w:jc w:val="both"/>
      </w:pPr>
      <w:r>
        <w:rPr>
          <w:rFonts w:ascii="Arial" w:cs="Arial" w:eastAsia="Arial" w:hAnsi="Arial"/>
          <w:sz w:val="22"/>
          <w:szCs w:val="22"/>
        </w:rPr>
        <w:t xml:space="preserve">Прирост объема ВВП на душу населения в среднем в 2022-2023 годах составит 4,4%.</w:t>
      </w:r>
    </w:p>
    <w:p>
      <w:pPr>
        <w:spacing w:after="60"/>
        <w:ind w:firstLine="567"/>
        <w:jc w:val="both"/>
      </w:pPr>
      <w:r>
        <w:rPr>
          <w:rFonts w:ascii="Arial" w:cs="Arial" w:eastAsia="Arial" w:hAnsi="Arial"/>
          <w:sz w:val="22"/>
          <w:szCs w:val="22"/>
        </w:rPr>
        <w:t xml:space="preserve">Размер прожиточного минимума увеличится с 5405,5 сома в 2021 году до 5897,2 сома - к 2023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3,09 к 2023 году.</w:t>
      </w:r>
    </w:p>
    <w:p>
      <w:pPr>
        <w:spacing w:after="60"/>
        <w:ind w:firstLine="567"/>
        <w:jc w:val="both"/>
      </w:pPr>
      <w:r>
        <w:rPr>
          <w:rFonts w:ascii="Arial" w:cs="Arial" w:eastAsia="Arial" w:hAnsi="Arial"/>
          <w:sz w:val="22"/>
          <w:szCs w:val="22"/>
        </w:rPr>
        <w:t xml:space="preserve">Номинальный размер пенсии увеличится относительно 2021 года на 5,0% и составит в 2023 году 6530,0 сомов.</w:t>
      </w:r>
    </w:p>
    <w:p>
      <w:pPr>
        <w:spacing w:after="60"/>
        <w:ind w:firstLine="567"/>
        <w:jc w:val="both"/>
      </w:pPr>
      <w:r>
        <w:rPr>
          <w:rFonts w:ascii="Arial" w:cs="Arial" w:eastAsia="Arial" w:hAnsi="Arial"/>
          <w:sz w:val="22"/>
          <w:szCs w:val="22"/>
        </w:rPr>
        <w:t xml:space="preserve">Прогнозируемый уровень общей безработицы снизится и составит к 2023 году 6,5%.</w:t>
      </w:r>
    </w:p>
    <w:p>
      <w:pPr>
        <w:spacing w:after="60"/>
        <w:ind w:firstLine="567"/>
        <w:jc w:val="both"/>
      </w:pPr>
      <w:r>
        <w:rPr>
          <w:rFonts w:ascii="Arial" w:cs="Arial" w:eastAsia="Arial" w:hAnsi="Arial"/>
          <w:sz w:val="22"/>
          <w:szCs w:val="22"/>
        </w:rPr>
        <w:t xml:space="preserve">Уровень бедности к 2023 году прогнозируется в размере 20,7% и увеличится на 0,6 процентного пункта по сравнению с фактически сложившимся в 2019 году.</w:t>
      </w:r>
    </w:p>
    <w:p>
      <w:pPr>
        <w:spacing w:after="60" w:before="200"/>
        <w:ind w:firstLine="567"/>
        <w:jc w:val="both"/>
      </w:pPr>
      <w:r>
        <w:rPr>
          <w:rFonts w:ascii="Arial" w:cs="Arial" w:eastAsia="Arial" w:hAnsi="Arial"/>
          <w:b/>
          <w:bCs/>
          <w:sz w:val="22"/>
          <w:szCs w:val="22"/>
        </w:rPr>
        <w:t xml:space="preserve">Заключение</w:t>
      </w:r>
    </w:p>
    <w:p>
      <w:pPr>
        <w:spacing w:after="60"/>
        <w:ind w:firstLine="567"/>
        <w:jc w:val="both"/>
      </w:pPr>
      <w:r>
        <w:rPr>
          <w:rFonts w:ascii="Arial" w:cs="Arial" w:eastAsia="Arial" w:hAnsi="Arial"/>
          <w:sz w:val="22"/>
          <w:szCs w:val="22"/>
        </w:rPr>
        <w:t xml:space="preserve">В 2021-2023 годах экономическая политика и эффективная реализация заявленных мер в программных документах Правительства позволят обеспечить макроэкономическую стабильность в стране и сохранение положительной динамики экономического роста, которая будет поддерживаться со стороны всех отраслей экономики, формирующих ВВП страны. В среднесрочной перспективе на 2021-2023 годы экономический рост прогнозируется в среднем на 4,1% в год.</w:t>
      </w:r>
    </w:p>
    <w:p>
      <w:pPr>
        <w:spacing w:after="60"/>
        <w:ind w:firstLine="567"/>
        <w:jc w:val="both"/>
      </w:pPr>
      <w:r>
        <w:rPr>
          <w:rFonts w:ascii="Arial" w:cs="Arial" w:eastAsia="Arial" w:hAnsi="Arial"/>
          <w:sz w:val="22"/>
          <w:szCs w:val="22"/>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2"/>
          <w:szCs w:val="22"/>
        </w:rPr>
        <w:t xml:space="preserve">Правительством, при необходимости, будет разработана система мер, направленная на смягчение возможного шокового воздействия на экономику негативных процессов и дисбалансов/рисков, связанных с ухудшением мировой конъюнктуры.</w:t>
      </w:r>
    </w:p>
    <w:p>
      <w:pPr>
        <w:spacing w:after="60"/>
        <w:ind w:firstLine="567"/>
        <w:jc w:val="both"/>
      </w:pPr>
      <w:r>
        <w:rPr>
          <w:rFonts w:ascii="Arial" w:cs="Arial" w:eastAsia="Arial" w:hAnsi="Arial"/>
          <w:sz w:val="22"/>
          <w:szCs w:val="22"/>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2"/>
          <w:szCs w:val="22"/>
        </w:rPr>
        <w:t xml:space="preserve">При этом следует отметить, что с учетом фактически сложившейся ситуации в экономике, появления новых факторов, направленных на снижение/рост ожидаемых показателей социально-экономического развития в 2020 году, прогнозируемые макроэкономические показатели на 2021-2023 годы будут скорректированы.</w:t>
      </w:r>
    </w:p>
    <w:p>
      <w:pPr>
        <w:spacing w:after="60"/>
        <w:ind w:firstLine="567"/>
        <w:jc w:val="both"/>
      </w:pPr>
      <w:r>
        <w:rPr>
          <w:rFonts w:ascii="Arial" w:cs="Arial" w:eastAsia="Arial" w:hAnsi="Arial"/>
          <w:sz w:val="22"/>
          <w:szCs w:val="22"/>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2"/>
          <w:szCs w:val="22"/>
        </w:rPr>
        <w:t xml:space="preserve">1-14 </w:t>
      </w:r>
      <w:r>
        <w:rPr>
          <w:rFonts w:ascii="Arial" w:cs="Arial" w:eastAsia="Arial" w:hAnsi="Arial"/>
          <w:sz w:val="22"/>
          <w:szCs w:val="22"/>
        </w:rPr>
        <w:t xml:space="preserve">к настоящему Среднесрочному прогнозу социально-экономического развития Кыргызской Республики на 2021-2023 годы.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Данные статистических комитетов государств - членов ЕАЭС и МВФ (World Economic Ou</w:t>
      </w:r>
      <w:r>
        <w:rPr>
          <w:rFonts w:ascii="Arial" w:cs="Arial" w:eastAsia="Arial" w:hAnsi="Arial"/>
          <w:sz w:val="22"/>
          <w:szCs w:val="22"/>
        </w:rPr>
        <w:t xml:space="preserve">t</w:t>
      </w:r>
      <w:r>
        <w:rPr>
          <w:rFonts w:ascii="Arial" w:cs="Arial" w:eastAsia="Arial" w:hAnsi="Arial"/>
          <w:sz w:val="22"/>
          <w:szCs w:val="22"/>
        </w:rPr>
        <w:t xml:space="preserve">look Updntc, January 2019).</w:t>
      </w:r>
    </w:p>
    <w:p>
      <w:pPr>
        <w:spacing w:after="60"/>
        <w:ind w:firstLine="567"/>
        <w:jc w:val="both"/>
      </w:pPr>
      <w:r>
        <w:rPr>
          <w:rFonts w:ascii="Arial" w:cs="Arial" w:eastAsia="Arial" w:hAnsi="Arial"/>
          <w:sz w:val="22"/>
          <w:szCs w:val="22"/>
        </w:rPr>
        <w:t xml:space="preserve">(2) По данным аналитического баланса банковской системы включают в себя только кредиты физических и юридических лиц и других финансово-кредитных учреждений, при этом исключаются кредит Правительству и нерезидентам.</w:t>
      </w:r>
    </w:p>
    <w:p>
      <w:pPr>
        <w:spacing w:after="60"/>
        <w:ind w:firstLine="567"/>
        <w:jc w:val="both"/>
      </w:pPr>
      <w:r>
        <w:rPr>
          <w:rFonts w:ascii="Arial" w:cs="Arial" w:eastAsia="Arial" w:hAnsi="Arial"/>
          <w:sz w:val="22"/>
          <w:szCs w:val="22"/>
        </w:rPr>
        <w:t xml:space="preserve">(3) Темпы прироста приведены по ВДС.</w:t>
      </w:r>
    </w:p>
    <w:p>
      <w:pPr>
        <w:spacing w:after="60"/>
        <w:ind w:firstLine="567"/>
        <w:jc w:val="both"/>
      </w:pPr>
      <w:r>
        <w:rPr>
          <w:rFonts w:ascii="Arial" w:cs="Arial" w:eastAsia="Arial" w:hAnsi="Arial"/>
          <w:sz w:val="22"/>
          <w:szCs w:val="22"/>
        </w:rPr>
        <w:t xml:space="preserve">(4) Показатель экономической активности (за январь-май 2020 года).</w:t>
      </w:r>
    </w:p>
    <w:p>
      <w:pPr>
        <w:spacing w:after="60"/>
        <w:ind w:firstLine="567"/>
        <w:jc w:val="both"/>
      </w:pPr>
      <w:r>
        <w:rPr>
          <w:rFonts w:ascii="Arial" w:cs="Arial" w:eastAsia="Arial" w:hAnsi="Arial"/>
          <w:sz w:val="22"/>
          <w:szCs w:val="22"/>
        </w:rPr>
        <w:t xml:space="preserve">(5) Данные Министерства экономического развития Российской Федерации.</w:t>
      </w:r>
    </w:p>
    <w:p>
      <w:pPr>
        <w:spacing w:after="60"/>
        <w:ind w:firstLine="567"/>
        <w:jc w:val="both"/>
      </w:pPr>
      <w:r>
        <w:rPr>
          <w:rFonts w:ascii="Arial" w:cs="Arial" w:eastAsia="Arial" w:hAnsi="Arial"/>
          <w:sz w:val="22"/>
          <w:szCs w:val="22"/>
        </w:rPr>
        <w:t xml:space="preserve">(6) Данные Министерства национальной экономики Республики Казахстан.</w:t>
      </w:r>
    </w:p>
    <w:p>
      <w:pPr>
        <w:spacing w:after="60"/>
        <w:ind w:firstLine="567"/>
        <w:jc w:val="both"/>
      </w:pPr>
      <w:r>
        <w:rPr>
          <w:rFonts w:ascii="Arial" w:cs="Arial" w:eastAsia="Arial" w:hAnsi="Arial"/>
          <w:sz w:val="22"/>
          <w:szCs w:val="22"/>
        </w:rPr>
        <w:t xml:space="preserve">(7) Эксперты </w:t>
      </w:r>
      <w:r>
        <w:rPr>
          <w:rFonts w:ascii="Arial" w:cs="Arial" w:eastAsia="Arial" w:hAnsi="Arial"/>
          <w:sz w:val="22"/>
          <w:szCs w:val="22"/>
        </w:rPr>
        <w:t xml:space="preserve">Saxo Bank</w:t>
      </w:r>
      <w:r>
        <w:rPr>
          <w:rFonts w:ascii="Arial" w:cs="Arial" w:eastAsia="Arial" w:hAnsi="Arial"/>
          <w:sz w:val="22"/>
          <w:szCs w:val="22"/>
        </w:rPr>
        <w:t xml:space="preserve">, Citigroup, аналитики инвестиционного фонда </w:t>
      </w:r>
      <w:r>
        <w:rPr>
          <w:rFonts w:ascii="Arial" w:cs="Arial" w:eastAsia="Arial" w:hAnsi="Arial"/>
          <w:sz w:val="22"/>
          <w:szCs w:val="22"/>
        </w:rPr>
        <w:t xml:space="preserve">Standard Chartered</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(8) Оценка Министерства экономики Кыргызской Республики.</w:t>
      </w:r>
    </w:p>
    <w:p>
      <w:pPr>
        <w:spacing w:after="60"/>
        <w:ind w:firstLine="567"/>
        <w:jc w:val="both"/>
      </w:pPr>
      <w:r>
        <w:rPr>
          <w:rFonts w:ascii="Arial" w:cs="Arial" w:eastAsia="Arial" w:hAnsi="Arial"/>
          <w:sz w:val="22"/>
          <w:szCs w:val="22"/>
        </w:rPr>
        <w:t xml:space="preserve">(9) Краткий обзор спроса и предложения зерна ФАО.</w:t>
      </w:r>
    </w:p>
    <w:p>
      <w:pPr>
        <w:spacing w:after="60"/>
        <w:ind w:firstLine="567"/>
        <w:jc w:val="both"/>
      </w:pPr>
      <w:r>
        <w:rPr>
          <w:rFonts w:ascii="Arial" w:cs="Arial" w:eastAsia="Arial" w:hAnsi="Arial"/>
          <w:sz w:val="22"/>
          <w:szCs w:val="22"/>
        </w:rPr>
        <w:t xml:space="preserve">(10) Расчет ВВП по регионам за 2019 год осуществлен на основе оценок Министерства экономики Кыргызской Республики.</w:t>
      </w:r>
    </w:p>
    <w:p>
      <w:pPr>
        <w:spacing w:after="60"/>
        <w:ind w:firstLine="567"/>
        <w:jc w:val="both"/>
      </w:pPr>
      <w:r>
        <w:rPr>
          <w:rFonts w:ascii="Arial" w:cs="Arial" w:eastAsia="Arial" w:hAnsi="Arial"/>
          <w:sz w:val="22"/>
          <w:szCs w:val="22"/>
        </w:rPr>
        <w:t xml:space="preserve">(11) Без учета стоимости переработанного давальческого сырья.</w:t>
      </w:r>
    </w:p>
    <w:p>
      <w:pPr>
        <w:spacing w:after="60"/>
        <w:ind w:firstLine="567"/>
        <w:jc w:val="both"/>
      </w:pPr>
      <w:r>
        <w:rPr>
          <w:rFonts w:ascii="Arial" w:cs="Arial" w:eastAsia="Arial" w:hAnsi="Arial"/>
          <w:sz w:val="22"/>
          <w:szCs w:val="22"/>
        </w:rPr>
        <w:t xml:space="preserve">(12) Без учета стоимости давальческого сырья.</w:t>
      </w:r>
    </w:p>
    <w:p>
      <w:pPr>
        <w:spacing w:after="60"/>
        <w:ind w:firstLine="567"/>
        <w:jc w:val="both"/>
      </w:pPr>
      <w:r>
        <w:rPr>
          <w:rFonts w:ascii="Arial" w:cs="Arial" w:eastAsia="Arial" w:hAnsi="Arial"/>
          <w:sz w:val="22"/>
          <w:szCs w:val="22"/>
        </w:rPr>
        <w:t xml:space="preserve">(13)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МВФ</w:t>
      </w:r>
      <w:r>
        <w:rPr>
          <w:rFonts w:ascii="Arial" w:cs="Arial" w:eastAsia="Arial" w:hAnsi="Arial"/>
          <w:sz w:val="24"/>
          <w:szCs w:val="24"/>
        </w:rPr>
        <w:t xml:space="preserve">	</w:t>
      </w:r>
      <w:r>
        <w:rPr>
          <w:rFonts w:ascii="Arial" w:cs="Arial" w:eastAsia="Arial" w:hAnsi="Arial"/>
          <w:sz w:val="22"/>
          <w:szCs w:val="22"/>
        </w:rPr>
        <w:t xml:space="preserve">Международный валютный фонд</w:t>
      </w:r>
    </w:p>
    <w:p>
      <w:pPr>
        <w:tabs>
          <w:tab w:val="right" w:pos="10178"/>
        </w:tabs>
        <w:spacing w:after="120"/>
      </w:pPr>
      <w:r>
        <w:rPr>
          <w:rFonts w:ascii="Arial" w:cs="Arial" w:eastAsia="Arial" w:hAnsi="Arial"/>
          <w:b/>
          <w:bCs/>
          <w:sz w:val="22"/>
          <w:szCs w:val="22"/>
        </w:rPr>
        <w:t xml:space="preserve">ВБ</w:t>
      </w:r>
      <w:r>
        <w:rPr>
          <w:rFonts w:ascii="Arial" w:cs="Arial" w:eastAsia="Arial" w:hAnsi="Arial"/>
          <w:sz w:val="24"/>
          <w:szCs w:val="24"/>
        </w:rPr>
        <w:t xml:space="preserve">	</w:t>
      </w:r>
      <w:r>
        <w:rPr>
          <w:rFonts w:ascii="Arial" w:cs="Arial" w:eastAsia="Arial" w:hAnsi="Arial"/>
          <w:sz w:val="22"/>
          <w:szCs w:val="22"/>
        </w:rPr>
        <w:t xml:space="preserve">Всемирный банк</w:t>
      </w:r>
    </w:p>
    <w:p>
      <w:pPr>
        <w:tabs>
          <w:tab w:val="right" w:pos="10178"/>
        </w:tabs>
        <w:spacing w:after="120"/>
      </w:pPr>
      <w:r>
        <w:rPr>
          <w:rFonts w:ascii="Arial" w:cs="Arial" w:eastAsia="Arial" w:hAnsi="Arial"/>
          <w:b/>
          <w:bCs/>
          <w:sz w:val="22"/>
          <w:szCs w:val="22"/>
        </w:rPr>
        <w:t xml:space="preserve">ИБР</w:t>
      </w:r>
      <w:r>
        <w:rPr>
          <w:rFonts w:ascii="Arial" w:cs="Arial" w:eastAsia="Arial" w:hAnsi="Arial"/>
          <w:sz w:val="24"/>
          <w:szCs w:val="24"/>
        </w:rPr>
        <w:t xml:space="preserve">	</w:t>
      </w:r>
      <w:r>
        <w:rPr>
          <w:rFonts w:ascii="Arial" w:cs="Arial" w:eastAsia="Arial" w:hAnsi="Arial"/>
          <w:sz w:val="22"/>
          <w:szCs w:val="22"/>
        </w:rPr>
        <w:t xml:space="preserve">Исламский банк развития</w:t>
      </w:r>
    </w:p>
    <w:p>
      <w:pPr>
        <w:tabs>
          <w:tab w:val="right" w:pos="10178"/>
        </w:tabs>
        <w:spacing w:after="120"/>
      </w:pPr>
      <w:r>
        <w:rPr>
          <w:rFonts w:ascii="Arial" w:cs="Arial" w:eastAsia="Arial" w:hAnsi="Arial"/>
          <w:b/>
          <w:bCs/>
          <w:sz w:val="22"/>
          <w:szCs w:val="22"/>
        </w:rPr>
        <w:t xml:space="preserve">АБР</w:t>
      </w:r>
      <w:r>
        <w:rPr>
          <w:rFonts w:ascii="Arial" w:cs="Arial" w:eastAsia="Arial" w:hAnsi="Arial"/>
          <w:sz w:val="24"/>
          <w:szCs w:val="24"/>
        </w:rPr>
        <w:t xml:space="preserve">	</w:t>
      </w:r>
      <w:r>
        <w:rPr>
          <w:rFonts w:ascii="Arial" w:cs="Arial" w:eastAsia="Arial" w:hAnsi="Arial"/>
          <w:sz w:val="22"/>
          <w:szCs w:val="22"/>
        </w:rPr>
        <w:t xml:space="preserve">Азиатский банк развития</w:t>
      </w:r>
    </w:p>
    <w:p>
      <w:pPr>
        <w:tabs>
          <w:tab w:val="right" w:pos="10178"/>
        </w:tabs>
        <w:spacing w:after="120"/>
      </w:pPr>
      <w:r>
        <w:rPr>
          <w:rFonts w:ascii="Arial" w:cs="Arial" w:eastAsia="Arial" w:hAnsi="Arial"/>
          <w:b/>
          <w:bCs/>
          <w:sz w:val="22"/>
          <w:szCs w:val="22"/>
        </w:rPr>
        <w:t xml:space="preserve">СФР</w:t>
      </w:r>
      <w:r>
        <w:rPr>
          <w:rFonts w:ascii="Arial" w:cs="Arial" w:eastAsia="Arial" w:hAnsi="Arial"/>
          <w:sz w:val="24"/>
          <w:szCs w:val="24"/>
        </w:rPr>
        <w:t xml:space="preserve">	</w:t>
      </w:r>
      <w:r>
        <w:rPr>
          <w:rFonts w:ascii="Arial" w:cs="Arial" w:eastAsia="Arial" w:hAnsi="Arial"/>
          <w:sz w:val="22"/>
          <w:szCs w:val="22"/>
        </w:rPr>
        <w:t xml:space="preserve">Саудовский фонд развития</w:t>
      </w:r>
    </w:p>
    <w:p>
      <w:pPr>
        <w:tabs>
          <w:tab w:val="right" w:pos="10178"/>
        </w:tabs>
        <w:spacing w:after="120"/>
      </w:pPr>
      <w:r>
        <w:rPr>
          <w:rFonts w:ascii="Arial" w:cs="Arial" w:eastAsia="Arial" w:hAnsi="Arial"/>
          <w:b/>
          <w:bCs/>
          <w:sz w:val="22"/>
          <w:szCs w:val="22"/>
        </w:rPr>
        <w:t xml:space="preserve">КФАЭР</w:t>
      </w:r>
      <w:r>
        <w:rPr>
          <w:rFonts w:ascii="Arial" w:cs="Arial" w:eastAsia="Arial" w:hAnsi="Arial"/>
          <w:sz w:val="24"/>
          <w:szCs w:val="24"/>
        </w:rPr>
        <w:t xml:space="preserve">	</w:t>
      </w:r>
      <w:r>
        <w:rPr>
          <w:rFonts w:ascii="Arial" w:cs="Arial" w:eastAsia="Arial" w:hAnsi="Arial"/>
          <w:sz w:val="22"/>
          <w:szCs w:val="22"/>
        </w:rPr>
        <w:t xml:space="preserve">Кувейтский фонд арабского экономического развития</w:t>
      </w:r>
    </w:p>
    <w:p>
      <w:pPr>
        <w:tabs>
          <w:tab w:val="right" w:pos="10178"/>
        </w:tabs>
        <w:spacing w:after="120"/>
      </w:pPr>
      <w:r>
        <w:rPr>
          <w:rFonts w:ascii="Arial" w:cs="Arial" w:eastAsia="Arial" w:hAnsi="Arial"/>
          <w:b/>
          <w:bCs/>
          <w:sz w:val="22"/>
          <w:szCs w:val="22"/>
        </w:rPr>
        <w:t xml:space="preserve">ЕАБР</w:t>
      </w:r>
      <w:r>
        <w:rPr>
          <w:rFonts w:ascii="Arial" w:cs="Arial" w:eastAsia="Arial" w:hAnsi="Arial"/>
          <w:sz w:val="24"/>
          <w:szCs w:val="24"/>
        </w:rPr>
        <w:t xml:space="preserve">	</w:t>
      </w:r>
      <w:r>
        <w:rPr>
          <w:rFonts w:ascii="Arial" w:cs="Arial" w:eastAsia="Arial" w:hAnsi="Arial"/>
          <w:sz w:val="22"/>
          <w:szCs w:val="22"/>
        </w:rPr>
        <w:t xml:space="preserve">Евразийский банк развития</w:t>
      </w:r>
    </w:p>
    <w:p>
      <w:pPr>
        <w:tabs>
          <w:tab w:val="right" w:pos="10178"/>
        </w:tabs>
        <w:spacing w:after="120"/>
      </w:pPr>
      <w:r>
        <w:rPr>
          <w:rFonts w:ascii="Arial" w:cs="Arial" w:eastAsia="Arial" w:hAnsi="Arial"/>
          <w:b/>
          <w:bCs/>
          <w:sz w:val="22"/>
          <w:szCs w:val="22"/>
        </w:rPr>
        <w:t xml:space="preserve">ЕИБ</w:t>
      </w:r>
      <w:r>
        <w:rPr>
          <w:rFonts w:ascii="Arial" w:cs="Arial" w:eastAsia="Arial" w:hAnsi="Arial"/>
          <w:sz w:val="24"/>
          <w:szCs w:val="24"/>
        </w:rPr>
        <w:t xml:space="preserve">	</w:t>
      </w:r>
      <w:r>
        <w:rPr>
          <w:rFonts w:ascii="Arial" w:cs="Arial" w:eastAsia="Arial" w:hAnsi="Arial"/>
          <w:sz w:val="22"/>
          <w:szCs w:val="22"/>
        </w:rPr>
        <w:t xml:space="preserve">Европейский инвестиционный банк</w:t>
      </w:r>
    </w:p>
    <w:p>
      <w:pPr>
        <w:tabs>
          <w:tab w:val="right" w:pos="10178"/>
        </w:tabs>
        <w:spacing w:after="120"/>
      </w:pPr>
      <w:r>
        <w:rPr>
          <w:rFonts w:ascii="Arial" w:cs="Arial" w:eastAsia="Arial" w:hAnsi="Arial"/>
          <w:b/>
          <w:bCs/>
          <w:sz w:val="22"/>
          <w:szCs w:val="22"/>
        </w:rPr>
        <w:t xml:space="preserve">ЕБРР</w:t>
      </w:r>
      <w:r>
        <w:rPr>
          <w:rFonts w:ascii="Arial" w:cs="Arial" w:eastAsia="Arial" w:hAnsi="Arial"/>
          <w:sz w:val="24"/>
          <w:szCs w:val="24"/>
        </w:rPr>
        <w:t xml:space="preserve">	</w:t>
      </w:r>
      <w:r>
        <w:rPr>
          <w:rFonts w:ascii="Arial" w:cs="Arial" w:eastAsia="Arial" w:hAnsi="Arial"/>
          <w:sz w:val="22"/>
          <w:szCs w:val="22"/>
        </w:rPr>
        <w:t xml:space="preserve">Европейский банк реконструкции и развития</w:t>
      </w:r>
    </w:p>
    <w:p>
      <w:pPr>
        <w:tabs>
          <w:tab w:val="right" w:pos="10178"/>
        </w:tabs>
        <w:spacing w:after="120"/>
      </w:pPr>
      <w:r>
        <w:rPr>
          <w:rFonts w:ascii="Arial" w:cs="Arial" w:eastAsia="Arial" w:hAnsi="Arial"/>
          <w:b/>
          <w:bCs/>
          <w:sz w:val="22"/>
          <w:szCs w:val="22"/>
        </w:rPr>
        <w:t xml:space="preserve">ЦАРЭС</w:t>
      </w:r>
      <w:r>
        <w:rPr>
          <w:rFonts w:ascii="Arial" w:cs="Arial" w:eastAsia="Arial" w:hAnsi="Arial"/>
          <w:sz w:val="24"/>
          <w:szCs w:val="24"/>
        </w:rPr>
        <w:t xml:space="preserve">	</w:t>
      </w:r>
      <w:r>
        <w:rPr>
          <w:rFonts w:ascii="Arial" w:cs="Arial" w:eastAsia="Arial" w:hAnsi="Arial"/>
          <w:sz w:val="22"/>
          <w:szCs w:val="22"/>
        </w:rPr>
        <w:t xml:space="preserve">Программа Центрально-азиатского регионального экономического сотрудничества</w:t>
      </w:r>
    </w:p>
    <w:p>
      <w:pPr>
        <w:tabs>
          <w:tab w:val="right" w:pos="10178"/>
        </w:tabs>
        <w:spacing w:after="120"/>
      </w:pPr>
      <w:r>
        <w:rPr>
          <w:rFonts w:ascii="Arial" w:cs="Arial" w:eastAsia="Arial" w:hAnsi="Arial"/>
          <w:b/>
          <w:bCs/>
          <w:sz w:val="22"/>
          <w:szCs w:val="22"/>
        </w:rPr>
        <w:t xml:space="preserve">JICA</w:t>
      </w:r>
      <w:r>
        <w:rPr>
          <w:rFonts w:ascii="Arial" w:cs="Arial" w:eastAsia="Arial" w:hAnsi="Arial"/>
          <w:sz w:val="24"/>
          <w:szCs w:val="24"/>
        </w:rPr>
        <w:t xml:space="preserve">	</w:t>
      </w:r>
      <w:r>
        <w:rPr>
          <w:rFonts w:ascii="Arial" w:cs="Arial" w:eastAsia="Arial" w:hAnsi="Arial"/>
          <w:sz w:val="22"/>
          <w:szCs w:val="22"/>
        </w:rPr>
        <w:t xml:space="preserve">Японское агентство международного сотрудничества</w:t>
      </w:r>
    </w:p>
    <w:p>
      <w:pPr>
        <w:tabs>
          <w:tab w:val="right" w:pos="10178"/>
        </w:tabs>
        <w:spacing w:after="120"/>
      </w:pPr>
      <w:r>
        <w:rPr>
          <w:rFonts w:ascii="Arial" w:cs="Arial" w:eastAsia="Arial" w:hAnsi="Arial"/>
          <w:b/>
          <w:bCs/>
          <w:sz w:val="22"/>
          <w:szCs w:val="22"/>
        </w:rPr>
        <w:t xml:space="preserve">ВТО</w:t>
      </w:r>
      <w:r>
        <w:rPr>
          <w:rFonts w:ascii="Arial" w:cs="Arial" w:eastAsia="Arial" w:hAnsi="Arial"/>
          <w:sz w:val="24"/>
          <w:szCs w:val="24"/>
        </w:rPr>
        <w:t xml:space="preserve">	</w:t>
      </w:r>
      <w:r>
        <w:rPr>
          <w:rFonts w:ascii="Arial" w:cs="Arial" w:eastAsia="Arial" w:hAnsi="Arial"/>
          <w:sz w:val="22"/>
          <w:szCs w:val="22"/>
        </w:rPr>
        <w:t xml:space="preserve">Всемирная торговая организация</w:t>
      </w:r>
    </w:p>
    <w:p>
      <w:pPr>
        <w:tabs>
          <w:tab w:val="right" w:pos="10178"/>
        </w:tabs>
        <w:spacing w:after="120"/>
      </w:pPr>
      <w:r>
        <w:rPr>
          <w:rFonts w:ascii="Arial" w:cs="Arial" w:eastAsia="Arial" w:hAnsi="Arial"/>
          <w:b/>
          <w:bCs/>
          <w:sz w:val="22"/>
          <w:szCs w:val="22"/>
        </w:rPr>
        <w:t xml:space="preserve">ГАТТ</w:t>
      </w:r>
      <w:r>
        <w:rPr>
          <w:rFonts w:ascii="Arial" w:cs="Arial" w:eastAsia="Arial" w:hAnsi="Arial"/>
          <w:sz w:val="24"/>
          <w:szCs w:val="24"/>
        </w:rPr>
        <w:t xml:space="preserve">	</w:t>
      </w:r>
      <w:r>
        <w:rPr>
          <w:rFonts w:ascii="Arial" w:cs="Arial" w:eastAsia="Arial" w:hAnsi="Arial"/>
          <w:sz w:val="22"/>
          <w:szCs w:val="22"/>
        </w:rPr>
        <w:t xml:space="preserve">Генеральное соглашение по тарифам и торговле</w:t>
      </w:r>
    </w:p>
    <w:p>
      <w:pPr>
        <w:tabs>
          <w:tab w:val="right" w:pos="10178"/>
        </w:tabs>
        <w:spacing w:after="120"/>
      </w:pPr>
      <w:r>
        <w:rPr>
          <w:rFonts w:ascii="Arial" w:cs="Arial" w:eastAsia="Arial" w:hAnsi="Arial"/>
          <w:b/>
          <w:bCs/>
          <w:sz w:val="22"/>
          <w:szCs w:val="22"/>
        </w:rPr>
        <w:t xml:space="preserve">ЕС</w:t>
      </w:r>
      <w:r>
        <w:rPr>
          <w:rFonts w:ascii="Arial" w:cs="Arial" w:eastAsia="Arial" w:hAnsi="Arial"/>
          <w:sz w:val="24"/>
          <w:szCs w:val="24"/>
        </w:rPr>
        <w:t xml:space="preserve">	</w:t>
      </w:r>
      <w:r>
        <w:rPr>
          <w:rFonts w:ascii="Arial" w:cs="Arial" w:eastAsia="Arial" w:hAnsi="Arial"/>
          <w:sz w:val="22"/>
          <w:szCs w:val="22"/>
        </w:rPr>
        <w:t xml:space="preserve">Европейский союз</w:t>
      </w:r>
    </w:p>
    <w:p>
      <w:pPr>
        <w:tabs>
          <w:tab w:val="right" w:pos="10178"/>
        </w:tabs>
        <w:spacing w:after="120"/>
      </w:pPr>
      <w:r>
        <w:rPr>
          <w:rFonts w:ascii="Arial" w:cs="Arial" w:eastAsia="Arial" w:hAnsi="Arial"/>
          <w:b/>
          <w:bCs/>
          <w:sz w:val="22"/>
          <w:szCs w:val="22"/>
        </w:rPr>
        <w:t xml:space="preserve">НБКР</w:t>
      </w:r>
      <w:r>
        <w:rPr>
          <w:rFonts w:ascii="Arial" w:cs="Arial" w:eastAsia="Arial" w:hAnsi="Arial"/>
          <w:sz w:val="24"/>
          <w:szCs w:val="24"/>
        </w:rPr>
        <w:t xml:space="preserve">	</w:t>
      </w:r>
      <w:r>
        <w:rPr>
          <w:rFonts w:ascii="Arial" w:cs="Arial" w:eastAsia="Arial" w:hAnsi="Arial"/>
          <w:sz w:val="22"/>
          <w:szCs w:val="22"/>
        </w:rPr>
        <w:t xml:space="preserve">Национальный банк Кыргызской Республики</w:t>
      </w:r>
    </w:p>
    <w:p>
      <w:pPr>
        <w:tabs>
          <w:tab w:val="right" w:pos="10178"/>
        </w:tabs>
        <w:spacing w:after="120"/>
      </w:pPr>
      <w:r>
        <w:rPr>
          <w:rFonts w:ascii="Arial" w:cs="Arial" w:eastAsia="Arial" w:hAnsi="Arial"/>
          <w:b/>
          <w:bCs/>
          <w:sz w:val="22"/>
          <w:szCs w:val="22"/>
        </w:rPr>
        <w:t xml:space="preserve">ОПЕК</w:t>
      </w:r>
      <w:r>
        <w:rPr>
          <w:rFonts w:ascii="Arial" w:cs="Arial" w:eastAsia="Arial" w:hAnsi="Arial"/>
          <w:sz w:val="24"/>
          <w:szCs w:val="24"/>
        </w:rPr>
        <w:t xml:space="preserve">	</w:t>
      </w:r>
      <w:r>
        <w:rPr>
          <w:rFonts w:ascii="Arial" w:cs="Arial" w:eastAsia="Arial" w:hAnsi="Arial"/>
          <w:sz w:val="22"/>
          <w:szCs w:val="22"/>
        </w:rPr>
        <w:t xml:space="preserve">Организация стран - экспортеров нефти</w:t>
      </w:r>
    </w:p>
    <w:p>
      <w:pPr>
        <w:tabs>
          <w:tab w:val="right" w:pos="10178"/>
        </w:tabs>
        <w:spacing w:after="120"/>
      </w:pPr>
      <w:r>
        <w:rPr>
          <w:rFonts w:ascii="Arial" w:cs="Arial" w:eastAsia="Arial" w:hAnsi="Arial"/>
          <w:b/>
          <w:bCs/>
          <w:sz w:val="22"/>
          <w:szCs w:val="22"/>
        </w:rPr>
        <w:t xml:space="preserve">ФАО</w:t>
      </w:r>
      <w:r>
        <w:rPr>
          <w:rFonts w:ascii="Arial" w:cs="Arial" w:eastAsia="Arial" w:hAnsi="Arial"/>
          <w:sz w:val="24"/>
          <w:szCs w:val="24"/>
        </w:rPr>
        <w:t xml:space="preserve">	</w:t>
      </w:r>
      <w:r>
        <w:rPr>
          <w:rFonts w:ascii="Arial" w:cs="Arial" w:eastAsia="Arial" w:hAnsi="Arial"/>
          <w:sz w:val="22"/>
          <w:szCs w:val="22"/>
        </w:rPr>
        <w:t xml:space="preserve">Продовольственная и сельскохозяйственная организация ООН</w:t>
      </w:r>
    </w:p>
    <w:p>
      <w:pPr>
        <w:tabs>
          <w:tab w:val="right" w:pos="10178"/>
        </w:tabs>
        <w:spacing w:after="120"/>
      </w:pPr>
      <w:r>
        <w:rPr>
          <w:rFonts w:ascii="Arial" w:cs="Arial" w:eastAsia="Arial" w:hAnsi="Arial"/>
          <w:b/>
          <w:bCs/>
          <w:sz w:val="22"/>
          <w:szCs w:val="22"/>
        </w:rPr>
        <w:t xml:space="preserve">ФРС</w:t>
      </w:r>
      <w:r>
        <w:rPr>
          <w:rFonts w:ascii="Arial" w:cs="Arial" w:eastAsia="Arial" w:hAnsi="Arial"/>
          <w:sz w:val="24"/>
          <w:szCs w:val="24"/>
        </w:rPr>
        <w:t xml:space="preserve">	</w:t>
      </w:r>
      <w:r>
        <w:rPr>
          <w:rFonts w:ascii="Arial" w:cs="Arial" w:eastAsia="Arial" w:hAnsi="Arial"/>
          <w:sz w:val="22"/>
          <w:szCs w:val="22"/>
        </w:rPr>
        <w:t xml:space="preserve">Федеральная резервная система</w:t>
      </w:r>
    </w:p>
    <w:p>
      <w:pPr>
        <w:tabs>
          <w:tab w:val="right" w:pos="10178"/>
        </w:tabs>
        <w:spacing w:after="120"/>
      </w:pPr>
      <w:r>
        <w:rPr>
          <w:rFonts w:ascii="Arial" w:cs="Arial" w:eastAsia="Arial" w:hAnsi="Arial"/>
          <w:b/>
          <w:bCs/>
          <w:sz w:val="22"/>
          <w:szCs w:val="22"/>
        </w:rPr>
        <w:t xml:space="preserve">СФРРС</w:t>
      </w:r>
      <w:r>
        <w:rPr>
          <w:rFonts w:ascii="Arial" w:cs="Arial" w:eastAsia="Arial" w:hAnsi="Arial"/>
          <w:sz w:val="24"/>
          <w:szCs w:val="24"/>
        </w:rPr>
        <w:t xml:space="preserve">	</w:t>
      </w:r>
      <w:r>
        <w:rPr>
          <w:rFonts w:ascii="Arial" w:cs="Arial" w:eastAsia="Arial" w:hAnsi="Arial"/>
          <w:sz w:val="22"/>
          <w:szCs w:val="22"/>
        </w:rPr>
        <w:t xml:space="preserve">страны с формирующимся рынком и развивающиеся страны</w:t>
      </w:r>
    </w:p>
    <w:p>
      <w:pPr>
        <w:tabs>
          <w:tab w:val="right" w:pos="10178"/>
        </w:tabs>
        <w:spacing w:after="120"/>
      </w:pPr>
      <w:r>
        <w:rPr>
          <w:rFonts w:ascii="Arial" w:cs="Arial" w:eastAsia="Arial" w:hAnsi="Arial"/>
          <w:b/>
          <w:bCs/>
          <w:sz w:val="22"/>
          <w:szCs w:val="22"/>
        </w:rPr>
        <w:t xml:space="preserve">СНГ</w:t>
      </w:r>
      <w:r>
        <w:rPr>
          <w:rFonts w:ascii="Arial" w:cs="Arial" w:eastAsia="Arial" w:hAnsi="Arial"/>
          <w:sz w:val="24"/>
          <w:szCs w:val="24"/>
        </w:rPr>
        <w:t xml:space="preserve">	</w:t>
      </w:r>
      <w:r>
        <w:rPr>
          <w:rFonts w:ascii="Arial" w:cs="Arial" w:eastAsia="Arial" w:hAnsi="Arial"/>
          <w:sz w:val="22"/>
          <w:szCs w:val="22"/>
        </w:rPr>
        <w:t xml:space="preserve">Содружество Независимых Государств</w:t>
      </w:r>
    </w:p>
    <w:p>
      <w:pPr>
        <w:tabs>
          <w:tab w:val="right" w:pos="10178"/>
        </w:tabs>
        <w:spacing w:after="120"/>
      </w:pPr>
      <w:r>
        <w:rPr>
          <w:rFonts w:ascii="Arial" w:cs="Arial" w:eastAsia="Arial" w:hAnsi="Arial"/>
          <w:b/>
          <w:bCs/>
          <w:sz w:val="22"/>
          <w:szCs w:val="22"/>
        </w:rPr>
        <w:t xml:space="preserve">ЕАЭС</w:t>
      </w:r>
      <w:r>
        <w:rPr>
          <w:rFonts w:ascii="Arial" w:cs="Arial" w:eastAsia="Arial" w:hAnsi="Arial"/>
          <w:sz w:val="24"/>
          <w:szCs w:val="24"/>
        </w:rPr>
        <w:t xml:space="preserve">	</w:t>
      </w:r>
      <w:r>
        <w:rPr>
          <w:rFonts w:ascii="Arial" w:cs="Arial" w:eastAsia="Arial" w:hAnsi="Arial"/>
          <w:sz w:val="22"/>
          <w:szCs w:val="22"/>
        </w:rPr>
        <w:t xml:space="preserve">Евразийский экономический союз</w:t>
      </w:r>
    </w:p>
    <w:p>
      <w:pPr>
        <w:tabs>
          <w:tab w:val="right" w:pos="10178"/>
        </w:tabs>
        <w:spacing w:after="120"/>
      </w:pPr>
      <w:r>
        <w:rPr>
          <w:rFonts w:ascii="Arial" w:cs="Arial" w:eastAsia="Arial" w:hAnsi="Arial"/>
          <w:b/>
          <w:bCs/>
          <w:sz w:val="22"/>
          <w:szCs w:val="22"/>
        </w:rPr>
        <w:t xml:space="preserve">КНР</w:t>
      </w:r>
      <w:r>
        <w:rPr>
          <w:rFonts w:ascii="Arial" w:cs="Arial" w:eastAsia="Arial" w:hAnsi="Arial"/>
          <w:sz w:val="24"/>
          <w:szCs w:val="24"/>
        </w:rPr>
        <w:t xml:space="preserve">	</w:t>
      </w:r>
      <w:r>
        <w:rPr>
          <w:rFonts w:ascii="Arial" w:cs="Arial" w:eastAsia="Arial" w:hAnsi="Arial"/>
          <w:sz w:val="22"/>
          <w:szCs w:val="22"/>
        </w:rPr>
        <w:t xml:space="preserve">Китайская Народная Республика</w:t>
      </w:r>
    </w:p>
    <w:p>
      <w:pPr>
        <w:tabs>
          <w:tab w:val="right" w:pos="10178"/>
        </w:tabs>
        <w:spacing w:after="120"/>
      </w:pPr>
      <w:r>
        <w:rPr>
          <w:rFonts w:ascii="Arial" w:cs="Arial" w:eastAsia="Arial" w:hAnsi="Arial"/>
          <w:b/>
          <w:bCs/>
          <w:sz w:val="22"/>
          <w:szCs w:val="22"/>
        </w:rPr>
        <w:t xml:space="preserve">ВСНП</w:t>
      </w:r>
      <w:r>
        <w:rPr>
          <w:rFonts w:ascii="Arial" w:cs="Arial" w:eastAsia="Arial" w:hAnsi="Arial"/>
          <w:sz w:val="24"/>
          <w:szCs w:val="24"/>
        </w:rPr>
        <w:t xml:space="preserve">	</w:t>
      </w:r>
      <w:r>
        <w:rPr>
          <w:rFonts w:ascii="Arial" w:cs="Arial" w:eastAsia="Arial" w:hAnsi="Arial"/>
          <w:sz w:val="22"/>
          <w:szCs w:val="22"/>
        </w:rPr>
        <w:t xml:space="preserve">Всекитайское собрание народных представителей</w:t>
      </w:r>
    </w:p>
    <w:p>
      <w:pPr>
        <w:tabs>
          <w:tab w:val="right" w:pos="10178"/>
        </w:tabs>
        <w:spacing w:after="120"/>
      </w:pPr>
      <w:r>
        <w:rPr>
          <w:rFonts w:ascii="Arial" w:cs="Arial" w:eastAsia="Arial" w:hAnsi="Arial"/>
          <w:b/>
          <w:bCs/>
          <w:sz w:val="22"/>
          <w:szCs w:val="22"/>
        </w:rPr>
        <w:t xml:space="preserve">АО</w:t>
      </w:r>
      <w:r>
        <w:rPr>
          <w:rFonts w:ascii="Arial" w:cs="Arial" w:eastAsia="Arial" w:hAnsi="Arial"/>
          <w:sz w:val="24"/>
          <w:szCs w:val="24"/>
        </w:rPr>
        <w:t xml:space="preserve">	</w:t>
      </w:r>
      <w:r>
        <w:rPr>
          <w:rFonts w:ascii="Arial" w:cs="Arial" w:eastAsia="Arial" w:hAnsi="Arial"/>
          <w:sz w:val="22"/>
          <w:szCs w:val="22"/>
        </w:rPr>
        <w:t xml:space="preserve">акционерное общество</w:t>
      </w:r>
    </w:p>
    <w:p>
      <w:pPr>
        <w:tabs>
          <w:tab w:val="right" w:pos="10178"/>
        </w:tabs>
        <w:spacing w:after="120"/>
      </w:pPr>
      <w:r>
        <w:rPr>
          <w:rFonts w:ascii="Arial" w:cs="Arial" w:eastAsia="Arial" w:hAnsi="Arial"/>
          <w:b/>
          <w:bCs/>
          <w:sz w:val="22"/>
          <w:szCs w:val="22"/>
        </w:rPr>
        <w:t xml:space="preserve">ОАО</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w:t>
      </w:r>
    </w:p>
    <w:p>
      <w:pPr>
        <w:tabs>
          <w:tab w:val="right" w:pos="10178"/>
        </w:tabs>
        <w:spacing w:after="120"/>
      </w:pPr>
      <w:r>
        <w:rPr>
          <w:rFonts w:ascii="Arial" w:cs="Arial" w:eastAsia="Arial" w:hAnsi="Arial"/>
          <w:b/>
          <w:bCs/>
          <w:sz w:val="22"/>
          <w:szCs w:val="22"/>
        </w:rPr>
        <w:t xml:space="preserve">ОсОО</w:t>
      </w:r>
      <w:r>
        <w:rPr>
          <w:rFonts w:ascii="Arial" w:cs="Arial" w:eastAsia="Arial" w:hAnsi="Arial"/>
          <w:sz w:val="24"/>
          <w:szCs w:val="24"/>
        </w:rPr>
        <w:t xml:space="preserve">	</w:t>
      </w:r>
      <w:r>
        <w:rPr>
          <w:rFonts w:ascii="Arial" w:cs="Arial" w:eastAsia="Arial" w:hAnsi="Arial"/>
          <w:sz w:val="22"/>
          <w:szCs w:val="22"/>
        </w:rPr>
        <w:t xml:space="preserve">общество с ограниченной ответственностью</w:t>
      </w:r>
    </w:p>
    <w:p>
      <w:pPr>
        <w:tabs>
          <w:tab w:val="right" w:pos="10178"/>
        </w:tabs>
        <w:spacing w:after="120"/>
      </w:pPr>
      <w:r>
        <w:rPr>
          <w:rFonts w:ascii="Arial" w:cs="Arial" w:eastAsia="Arial" w:hAnsi="Arial"/>
          <w:b/>
          <w:bCs/>
          <w:sz w:val="22"/>
          <w:szCs w:val="22"/>
        </w:rPr>
        <w:t xml:space="preserve">ЗАО</w:t>
      </w:r>
      <w:r>
        <w:rPr>
          <w:rFonts w:ascii="Arial" w:cs="Arial" w:eastAsia="Arial" w:hAnsi="Arial"/>
          <w:sz w:val="24"/>
          <w:szCs w:val="24"/>
        </w:rPr>
        <w:t xml:space="preserve">	</w:t>
      </w:r>
      <w:r>
        <w:rPr>
          <w:rFonts w:ascii="Arial" w:cs="Arial" w:eastAsia="Arial" w:hAnsi="Arial"/>
          <w:sz w:val="22"/>
          <w:szCs w:val="22"/>
        </w:rPr>
        <w:t xml:space="preserve">закрытое акционерное общество</w:t>
      </w:r>
    </w:p>
    <w:p>
      <w:pPr>
        <w:tabs>
          <w:tab w:val="right" w:pos="10178"/>
        </w:tabs>
        <w:spacing w:after="120"/>
      </w:pPr>
      <w:r>
        <w:rPr>
          <w:rFonts w:ascii="Arial" w:cs="Arial" w:eastAsia="Arial" w:hAnsi="Arial"/>
          <w:b/>
          <w:bCs/>
          <w:sz w:val="22"/>
          <w:szCs w:val="22"/>
        </w:rPr>
        <w:t xml:space="preserve">ФСК</w:t>
      </w:r>
      <w:r>
        <w:rPr>
          <w:rFonts w:ascii="Arial" w:cs="Arial" w:eastAsia="Arial" w:hAnsi="Arial"/>
          <w:sz w:val="24"/>
          <w:szCs w:val="24"/>
        </w:rPr>
        <w:t xml:space="preserve">	</w:t>
      </w:r>
      <w:r>
        <w:rPr>
          <w:rFonts w:ascii="Arial" w:cs="Arial" w:eastAsia="Arial" w:hAnsi="Arial"/>
          <w:sz w:val="22"/>
          <w:szCs w:val="22"/>
        </w:rPr>
        <w:t xml:space="preserve">Финансирование сельского хозяйства</w:t>
      </w:r>
    </w:p>
    <w:p>
      <w:pPr>
        <w:tabs>
          <w:tab w:val="right" w:pos="10178"/>
        </w:tabs>
        <w:spacing w:after="120"/>
      </w:pPr>
      <w:r>
        <w:rPr>
          <w:rFonts w:ascii="Arial" w:cs="Arial" w:eastAsia="Arial" w:hAnsi="Arial"/>
          <w:b/>
          <w:bCs/>
          <w:sz w:val="22"/>
          <w:szCs w:val="22"/>
        </w:rPr>
        <w:t xml:space="preserve">ВДС</w:t>
      </w:r>
      <w:r>
        <w:rPr>
          <w:rFonts w:ascii="Arial" w:cs="Arial" w:eastAsia="Arial" w:hAnsi="Arial"/>
          <w:sz w:val="24"/>
          <w:szCs w:val="24"/>
        </w:rPr>
        <w:t xml:space="preserve">	</w:t>
      </w:r>
      <w:r>
        <w:rPr>
          <w:rFonts w:ascii="Arial" w:cs="Arial" w:eastAsia="Arial" w:hAnsi="Arial"/>
          <w:sz w:val="22"/>
          <w:szCs w:val="22"/>
        </w:rPr>
        <w:t xml:space="preserve">валовая добавленная стоимость</w:t>
      </w:r>
    </w:p>
    <w:p>
      <w:pPr>
        <w:tabs>
          <w:tab w:val="right" w:pos="10178"/>
        </w:tabs>
        <w:spacing w:after="120"/>
      </w:pPr>
      <w:r>
        <w:rPr>
          <w:rFonts w:ascii="Arial" w:cs="Arial" w:eastAsia="Arial" w:hAnsi="Arial"/>
          <w:b/>
          <w:bCs/>
          <w:sz w:val="22"/>
          <w:szCs w:val="22"/>
        </w:rPr>
        <w:t xml:space="preserve">СЭЗ</w:t>
      </w:r>
      <w:r>
        <w:rPr>
          <w:rFonts w:ascii="Arial" w:cs="Arial" w:eastAsia="Arial" w:hAnsi="Arial"/>
          <w:sz w:val="24"/>
          <w:szCs w:val="24"/>
        </w:rPr>
        <w:t xml:space="preserve">	</w:t>
      </w:r>
      <w:r>
        <w:rPr>
          <w:rFonts w:ascii="Arial" w:cs="Arial" w:eastAsia="Arial" w:hAnsi="Arial"/>
          <w:sz w:val="22"/>
          <w:szCs w:val="22"/>
        </w:rPr>
        <w:t xml:space="preserve">свободная экономическая зона</w:t>
      </w:r>
    </w:p>
    <w:p>
      <w:pPr>
        <w:tabs>
          <w:tab w:val="right" w:pos="10178"/>
        </w:tabs>
        <w:spacing w:after="120"/>
      </w:pPr>
      <w:r>
        <w:rPr>
          <w:rFonts w:ascii="Arial" w:cs="Arial" w:eastAsia="Arial" w:hAnsi="Arial"/>
          <w:b/>
          <w:bCs/>
          <w:sz w:val="22"/>
          <w:szCs w:val="22"/>
        </w:rPr>
        <w:t xml:space="preserve">НПЗ</w:t>
      </w:r>
      <w:r>
        <w:rPr>
          <w:rFonts w:ascii="Arial" w:cs="Arial" w:eastAsia="Arial" w:hAnsi="Arial"/>
          <w:sz w:val="24"/>
          <w:szCs w:val="24"/>
        </w:rPr>
        <w:t xml:space="preserve">	</w:t>
      </w:r>
      <w:r>
        <w:rPr>
          <w:rFonts w:ascii="Arial" w:cs="Arial" w:eastAsia="Arial" w:hAnsi="Arial"/>
          <w:sz w:val="22"/>
          <w:szCs w:val="22"/>
        </w:rPr>
        <w:t xml:space="preserve">нефтеперерабатывающий завод</w:t>
      </w:r>
    </w:p>
    <w:p>
      <w:pPr>
        <w:tabs>
          <w:tab w:val="right" w:pos="10178"/>
        </w:tabs>
        <w:spacing w:after="120"/>
      </w:pPr>
      <w:r>
        <w:rPr>
          <w:rFonts w:ascii="Arial" w:cs="Arial" w:eastAsia="Arial" w:hAnsi="Arial"/>
          <w:b/>
          <w:bCs/>
          <w:sz w:val="22"/>
          <w:szCs w:val="22"/>
        </w:rPr>
        <w:t xml:space="preserve">ГП</w:t>
      </w:r>
      <w:r>
        <w:rPr>
          <w:rFonts w:ascii="Arial" w:cs="Arial" w:eastAsia="Arial" w:hAnsi="Arial"/>
          <w:sz w:val="24"/>
          <w:szCs w:val="24"/>
        </w:rPr>
        <w:t xml:space="preserve">	</w:t>
      </w:r>
      <w:r>
        <w:rPr>
          <w:rFonts w:ascii="Arial" w:cs="Arial" w:eastAsia="Arial" w:hAnsi="Arial"/>
          <w:sz w:val="22"/>
          <w:szCs w:val="22"/>
        </w:rPr>
        <w:t xml:space="preserve">государственное предприятие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Среднесрочному прогнозу социально-экономического развития Кыргызской Республики на 2021-2023 годы</w:t>
      </w:r>
    </w:p>
    <w:p>
      <w:pPr>
        <w:spacing w:after="400" w:before="400"/>
        <w:jc w:val="center"/>
      </w:pPr>
      <w:r>
        <w:rPr>
          <w:rFonts w:ascii="Arial" w:cs="Arial" w:eastAsia="Arial" w:hAnsi="Arial"/>
          <w:b/>
          <w:bCs/>
          <w:sz w:val="22"/>
          <w:szCs w:val="22"/>
        </w:rPr>
        <w:t xml:space="preserve">Основные социально-экономические показатели развития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1"/>
        <w:gridCol w:w="1478"/>
        <w:gridCol w:w="1130"/>
        <w:gridCol w:w="1067"/>
        <w:gridCol w:w="1067"/>
        <w:gridCol w:w="1067"/>
        <w:gridCol w:w="1067"/>
      </w:tblGrid>
      <w:tr>
        <w:tc>
          <w:tcPr>
            <w:tcW w:type="dxa" w:w="33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4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 Производство ВВП:</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Номинальный ВВП</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635040,7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692363,1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722982,9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Дефлятор,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Добавленная стоимость</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105409,8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106238,0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112873,5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127706,8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113722,6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71335,2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75817,9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80825,7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85415,2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90614,9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57479,3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59819,5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66667,0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72984,7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81609,1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276797,7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263017,0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290252,4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313884,9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340419,4</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 и импорт</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79020,4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78269,5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84422,1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92371,6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96617,0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Справка: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без учета предприятий по разработке месторождения Кумтор(1)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543322,8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537345,7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589990,4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638951,0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689356,9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Дефлятор, в % к предыдущему году(1)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 Использование ВВП(1):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Конечное потребление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576730,7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565134,4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619419,0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677556,3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715760,9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частное потребление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477595,8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461499,2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508834,7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559905,5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589983,3</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 потребление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99134,9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103635,2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110584,2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117650,8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125777,5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Валовые инвестиции(2)</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206098,9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207477,9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224064,1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242067,6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266243,4</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государственные инвестиции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38600,0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32054,9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31423,3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23759,7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38629,8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них: проекты государственных инвестиций (ГИ)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21049,4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18929,4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29582,9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22943,0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22944,0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частные инвестиции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167498,9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175423,0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192640,8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218307,9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227613,6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Чистый экспорт товаров и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-192787,1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-189410,1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-208442,3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-227260,8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-259021,3</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 и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210028,7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192110,1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203413,3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224217,4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229628,8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и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402815,8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381520,2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411855,6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451478,1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488650,2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III. Социальные показатели</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на душу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на душу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долл. США</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1348,6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1316,5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1330,5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Уровень бедности(3)</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Денежные доходы населения(3)</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447879,7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446983,9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460929,8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483515,4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508174,7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Прожиточный минимум</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 в месяц</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5664,9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5897,2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Прожиточный минимум для взрослого населения трудоспособного возраста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 в месяц</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5368,6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6037,9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6327,7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6587,1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Прожиточный минимум для взрослого населения пенсионного возраста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 в месяц</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4543,9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5052,5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5259,7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Среднегодовая численность наличного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6201,4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6331,6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6470,9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6613,3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6758,8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Среднемесячная заработная плата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17232,0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18024,3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18655,2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19420,0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20332,8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 к прожиточному минимуму для трудоспособного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308,7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Среднемесячный размер пенсий(4)</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5786,0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6061,0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6220,0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6370,0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6530,0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 к прожиточному минимуму пенсионера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потребительских цен (ИПЦ)</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 декабрю предыдущего года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IV. Трудовые ресурсы(5)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Численность экономически активного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2623,5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2649,8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Численность занятого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2442,7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2476,7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по отраслям:</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363,7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359,1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Услуги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1348,4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1331,4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1359,7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Численность безработных (общая)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Уровень общей безработицы</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Производительность труда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Структура производства и конечного использования ВВП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4"/>
        <w:gridCol w:w="1103"/>
        <w:gridCol w:w="877"/>
        <w:gridCol w:w="1028"/>
        <w:gridCol w:w="1002"/>
        <w:gridCol w:w="1004"/>
      </w:tblGrid>
      <w:tr>
        <w:tc>
          <w:tcPr>
            <w:tcW w:type="dxa" w:w="51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Национальные счета (% от ВВП)</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 Производство ВВП</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Справка:</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47,1</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 и импорт</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 Использование ВВП(6)</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Потребление</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Частное</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Валовые инвестиции*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Государственные инвестиции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них: проекты государственных инвестиций (ГИ)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Частные инвестиции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Чистый экспорт товаров и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 и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31,8</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и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67,6</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По методике Международного валютного фонда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Валовая продукция и темпы роста в отраслях Кыргызской Республики, формирующих ВВП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1"/>
        <w:gridCol w:w="1242"/>
        <w:gridCol w:w="1071"/>
        <w:gridCol w:w="1071"/>
        <w:gridCol w:w="1071"/>
        <w:gridCol w:w="1073"/>
      </w:tblGrid>
      <w:tr>
        <w:tc>
          <w:tcPr>
            <w:tcW w:type="dxa" w:w="46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219966,7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233789,4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249231,2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263383,3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279416,8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Промышленность(7),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277543,8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279724,4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297195,7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336251,6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299431,4</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Промышленность(8),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278565,0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281480,6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299718,4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339184,8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302411,5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Добыча полезных ископаемых,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19872,1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21295,0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23019,4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24585,8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25661,0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Обрабатывающие производства,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219184,8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219192,3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233639,6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267861,3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226167,2</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Обеспечение (снабжение) электроэнергией, газом, паром и кондиционированным воздухом,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36781,5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38051,5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39942,2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43379,6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46998,0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Водоснабжение, очистка, обработка отходов и получение вторичного сырья,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2941,9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3117,3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3358,1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3585,3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Справка:</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149397,2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154810,5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175165,9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191514,0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209444,1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171887,8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178886,0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199363,1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218255,7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244046,1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474329,3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450714,3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497385,7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537883,1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583353,4</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Оптовая и розничная торговля; ремонт автомобилей и мотоциклов,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170608,80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158465,7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182612,9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200063,5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216966,0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Транспортная деятельность и хранение грузов,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47536,5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40198,8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48019,5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53092,8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57581,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Гостиницы и рестораны,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26018,10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20124,8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23462,2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25620,7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27786,6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Информация и связь,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28487,40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30067,0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31631,7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34038,8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36916,3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сельского хозяйства, лесного хозяйства и рыболовства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1"/>
        <w:gridCol w:w="1620"/>
        <w:gridCol w:w="1054"/>
        <w:gridCol w:w="1075"/>
        <w:gridCol w:w="1054"/>
        <w:gridCol w:w="1054"/>
      </w:tblGrid>
      <w:tr>
        <w:tc>
          <w:tcPr>
            <w:tcW w:type="dxa" w:w="43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219966,7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233789,4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249231,2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263383,3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279416,8</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Растениеводство,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110485,1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118699,2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128605,0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137696,6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148422,7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Зерновые культуры (в весе после доработки),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29137,1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31299,9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33398,2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34991,0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36683,6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(в весе после доработки),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1931,2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1981,0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2142,5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Сахарная свекла (фабричная),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1386,1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2457,85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752,4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Хлопок (в зачетном весе),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3238,3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2998,5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3406,1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3567,4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Табак (в зачетном весе),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Масличные культуры,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815,6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835,5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Картофель,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15773,7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16652,8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17161,2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17656,5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1228,0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1281,5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Овощи,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31473,6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33055,1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34980,4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37035,2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39873,6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1158,0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1303,5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Бахчи продовольственные,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3328,9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3605,4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Плоды и ягоды,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9302,4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11084,5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Виноград,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586,6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Прочее растениеводство</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14244,9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20623,6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23531,2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27186,4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31643,9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Животноводство,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103944,5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109315,9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114746,0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119774,9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125045,3</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Скот и птица на убой (в живом весе),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65305,0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68205,3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70871,0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73530,9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Скот и птица на убой (в живом весе),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423,0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445,6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458,2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Молоко сырое,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34067,6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36054,1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38096,9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40025,2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42227,0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Молоко сырое,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1665,2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Яйца,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3699,7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4346,2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Яйца, млн. шт.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Шерсть,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648,1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691,7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Шерсть,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Прочее животноводство</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3316,7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3565,5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4043,5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4171,2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Услуги (с учетом вычета коммунальных услуг),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4786,9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4943,7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5006,3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5032,2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Охота,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Лесное хозяйство,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Рыбоводство, рыболовство,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568,4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промышленности Кыргызской Республики на 2021-2023 годы, с учетом стоимости переработки давальческого сырья, но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8"/>
        <w:gridCol w:w="1138"/>
        <w:gridCol w:w="1067"/>
        <w:gridCol w:w="1077"/>
        <w:gridCol w:w="1107"/>
        <w:gridCol w:w="1111"/>
      </w:tblGrid>
      <w:tr>
        <w:tc>
          <w:tcPr>
            <w:tcW w:type="dxa" w:w="46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1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Валовая продукция промышленности в действующих ценах,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277543,8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279724,4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297195,7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336251,7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299431,4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148376,0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153054,3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172643,1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188580,8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206463,9</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 Добыча полезных ископаемых,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23019,4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24585,8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25661,0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Добыча каменного угля и бурого угля (лигнита),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3363,4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3500,9</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3688,9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3804,9</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Добыча сырой нефти и природного газа,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5015,2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5337,4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5825,1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6223,3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Добыча металлических руд,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11921,1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13140,6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13978,6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14484,51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Добыча прочих полезных ископаемых,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1148,3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w:t>
            </w:r>
            <w:r>
              <w:rPr>
                <w:rFonts w:ascii="Arial" w:cs="Arial" w:eastAsia="Arial" w:hAnsi="Arial"/>
                <w:sz w:val="22"/>
                <w:szCs w:val="22"/>
              </w:rPr>
              <w:t xml:space="preserve">. Обрабатывающие производства,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229677,1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229513,8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244328,3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279485,5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238976,1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Производство продуктов (включая напитки) и табачных изделий,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37952,1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40991,1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43488,3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47055,8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50596,7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Текстильное производство; производство одежды и обуви, кожи и прочих кожаных изделий,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10402,6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11743,5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13317,1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15130,4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Производство деревянных и бумажных изделий; полиграфическая деятельность,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2531,5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2677,8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2756,8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2817,0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2910,6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Производство кокса и очищенных нефтепродуктов,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6928,1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3522,4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5035,3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5498,5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7004,0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 Производство химической продукции,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 Производство фармацевтической продукции,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 Производство резиновых и пластмассовых изделий, прочих неметаллических минеральных продуктов,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20013,9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17115,2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18527,1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19118,5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 Производство основных металлов и готовых металлических изделий, кроме машин и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145078,4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148361,6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155996,5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184718,2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136068,6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 Производство компьютеров, электронного и оптического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 Производство электрического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1407,1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1456,4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1545,7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1592,4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 Производство машин и оборудования, не включенных в другие группировки,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 Производство транспортных средств,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1332,2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1442,3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1464,0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1515,6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 Прочие производства, ремонт и установка машин и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2332,4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2498,5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2548,7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2755,6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III. Обеспечение (снабжение) электроэнергией, газом, паром и кондиционированным воздухом,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25267,9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25963,2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26734,9</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28826,1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31212,6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IV. Водоснабжение, очистка, обработка отходов и получение вторичного сырья,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2952,4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3113,1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3354,2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3581,6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6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промышленности Кыргызской Республики на 2021-2023 годы, без учета стоимости переработки давальческого сырья, но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4"/>
        <w:gridCol w:w="1156"/>
        <w:gridCol w:w="1054"/>
        <w:gridCol w:w="1054"/>
        <w:gridCol w:w="1054"/>
        <w:gridCol w:w="1054"/>
      </w:tblGrid>
      <w:tr>
        <w:tc>
          <w:tcPr>
            <w:tcW w:type="dxa" w:w="480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Валовая продукция промышленности в действующих ценах, млн. сомон</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278565,0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281480,6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299718,4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339184,8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302411,5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149397,2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154810,5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175165,9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191514,0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209444,1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 Добыча полезных ископаемых,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25661,0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Добыча каменного угля и бурого угля (лигнита),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3804,9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Добыча сырой нефти и природного газа,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5015,2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5337,4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6223,3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Добыча металлических руд,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11921,1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13140,6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13978,6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14484,5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Добыча прочих полезных ископаемых,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1148,3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 Обрабатывающие производства,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219184,8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219192,3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233639,6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267861,3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226167,2</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Производство продуктов (включая напитки) и табачных изделий,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30525,4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32969,7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35585,6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41402,2</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Текстильное производство; производство одежды и обуви, кожи и прочих кожаных изделий,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9197,7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13377,9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Производство деревянных и бумажных изделий; полиграфическая деятельность,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2407,7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2478,8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2617,1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Производство кокса и очищенных нефтепродуктов,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3983,4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5540,9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 Производство химической продукции,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 Производство фармацевтической продукции,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 Производство резиновых и пластмассовых изделий, прочих</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19994,6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17098,7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18509,3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19100,1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19917,3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неметаллических минеральных продуктов,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145078,4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148361,6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155996,5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184718,2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136068,6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 Производство основных металлов и готовых металлических изделий, кроме машин и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 Производство компьютеров, электронного и оптического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 Производство электрического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1592,4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 Производство машин и оборудования, не включенных в другие группировки,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249,7</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 Производство транспортных средств,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1515,6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 Прочие производства, ремонт и установка машин и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2669,6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III</w:t>
            </w:r>
            <w:r>
              <w:rPr>
                <w:rFonts w:ascii="Arial" w:cs="Arial" w:eastAsia="Arial" w:hAnsi="Arial"/>
                <w:sz w:val="22"/>
                <w:szCs w:val="22"/>
              </w:rPr>
              <w:t xml:space="preserve">. Обеспечение (снабжение) электроэнергией, газом, паром и кондиционированным воздухом,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36781,5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38051,5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39942,2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43379,6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46998,0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IV. Водоснабжение, очистка, обработка отходов и получение вторичного сырья,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2941,9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3358,1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3585,3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производства натуральных видов продукции промышленности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3"/>
        <w:gridCol w:w="983"/>
        <w:gridCol w:w="1026"/>
        <w:gridCol w:w="1002"/>
        <w:gridCol w:w="1002"/>
        <w:gridCol w:w="1002"/>
      </w:tblGrid>
      <w:tr>
        <w:tc>
          <w:tcPr>
            <w:tcW w:type="dxa" w:w="51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Добыча полезных ископаемых</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Уголь,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2532,7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Сырая нефть,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Газ природный, млн. м</w:t>
            </w:r>
            <w:r>
              <w:rPr>
                <w:rFonts w:ascii="Arial" w:cs="Arial" w:eastAsia="Arial" w:hAnsi="Arial"/>
                <w:sz w:val="22"/>
                <w:szCs w:val="22"/>
              </w:rPr>
              <w:t xml:space="preserve">3</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Руды и концентраты золотосодержащие,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57110,0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61000,0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64000,0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Обрабатывающие производства</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Масло растительное,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9162,9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9254,5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9347,1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9440,5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9535,0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Водка,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374,0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377,7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Пиво,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2324,2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2347,4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2370,9</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Воды минеральные, газированные, неподслащенные и неароматизированные,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3855,3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3893,9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3932,8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3972,1</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Напитки безалкогольные,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13069,7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13200,4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13332,4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13465,7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13600,4</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Вина, из свежего винограда (кроме игристого); виноградное сусло,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Коньяки,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142,2</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 иглистое, включая шампанское,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53,9</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Виноматериалы,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Мука из зерновых культур,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169,2</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Сахар-песок,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82,4</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Сигареты, млн.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Текстильное производство; производство одежды и обуви, кожи и прочих кожаных изделий, млн. сомов</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9733,0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9197,7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10383,3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11774,6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13377,9</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Цемент,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2005,3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2200,01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Листовое стекло, млн. м</w:t>
            </w:r>
            <w:r>
              <w:rPr>
                <w:rFonts w:ascii="Arial" w:cs="Arial" w:eastAsia="Arial" w:hAnsi="Arial"/>
                <w:sz w:val="22"/>
                <w:szCs w:val="22"/>
              </w:rPr>
              <w:t xml:space="preserve">2</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Тракторные прицепы,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Радиаторы, тыс.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Лампы накаливания, млн.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Сурьма,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Золото,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Ртуть,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Моторное топливо,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Дизельное топливо,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68,4</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Мазут,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Обеспечение (снабжение) электроэнергией, газом, паром и кондиционированным воздухом</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Электроэнергия, млн. кВт.ч</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15051,2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15430,8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15262,3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15959,3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16040,2</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Тепловая энергия, тыс. Гкал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2671,3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2900,0</w:t>
            </w:r>
          </w:p>
        </w:tc>
      </w:tr>
    </w:tbl>
    <w:p>
      <w:pPr>
        <w:spacing w:after="60" w:before="120"/>
        <w:ind w:firstLine="567"/>
        <w:jc w:val="both"/>
      </w:pPr>
      <w:r>
        <w:rPr>
          <w:rFonts w:ascii="Arial" w:cs="Arial" w:eastAsia="Arial" w:hAnsi="Arial"/>
          <w:sz w:val="22"/>
          <w:szCs w:val="22"/>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7-1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производства золота(9)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6"/>
        <w:gridCol w:w="1230"/>
        <w:gridCol w:w="967"/>
        <w:gridCol w:w="1002"/>
        <w:gridCol w:w="1002"/>
        <w:gridCol w:w="1002"/>
      </w:tblGrid>
      <w:tr>
        <w:tc>
          <w:tcPr>
            <w:tcW w:type="dxa" w:w="497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Производство золота, сплав Доре, кг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22811,8</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22975,3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23852,8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28030,1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21012,3</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Закрытое акционерное общество "Кумтор Голд Компани"</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Производство золота, сплав Доре, кг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18668,5</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16795,9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16080,5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18817,6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11694,9</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 </w:t>
            </w:r>
            <w:r>
              <w:rPr>
                <w:rFonts w:ascii="Arial" w:cs="Arial" w:eastAsia="Arial" w:hAnsi="Arial"/>
                <w:sz w:val="22"/>
                <w:szCs w:val="22"/>
              </w:rPr>
              <w:t xml:space="preserve">%</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112,3</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8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сферы услуг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3"/>
        <w:gridCol w:w="1166"/>
        <w:gridCol w:w="1054"/>
        <w:gridCol w:w="1054"/>
        <w:gridCol w:w="1054"/>
        <w:gridCol w:w="1105"/>
      </w:tblGrid>
      <w:tr>
        <w:tc>
          <w:tcPr>
            <w:tcW w:type="dxa" w:w="47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выпуск сферы услуг,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474329,3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450714,3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497385,7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537883,1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583353,4</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Оптовая и розничная торговля: ремонт автомобилей и мотоциклов, млн. сомон</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170608,80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158465,7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182612,9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200063,5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216966,0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Транспортная деятельность и хранение грузов,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47536,50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40198,8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48019,5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53092,8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57581,0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Гостиницы и рестораны,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26018,10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20124,8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23462,2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25620,7</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27786,6,1</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Информация и связь,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28487,40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30067,0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31631,7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34038,8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36916,3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Финансовое посредничество и страхование,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30687,10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28787,6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30244,2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31605,2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34277,0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Операции с недвижимым имуществом,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23102,00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20487,5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21307,0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23108,3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Профессиональная, научная и техническая деятельность,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20376,30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20767,5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21860,7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23189,9</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25150,2</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Административная и вспомогательная деятельность,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4599,10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5149,7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5462,8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5934,6</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 управление и оборона; обязательное социальное обеспечение,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43824,60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46033,4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47656,0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51039,6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55354,3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Образование,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39440,50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41428,3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43228,9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46303,5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50217,8</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Здравоохранение и социальное обслуживание населения,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23161,90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24611,8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26060,0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27910,3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30269,7</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Искусство, развлечения и отдых,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4375,50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3411,3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3587,4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3842,1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4166,9</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Прочая обслуживающая деятельность,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12111,50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12581,4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13384,9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14406,8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15624,7</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9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объема оказанных рыночных услуг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3"/>
        <w:gridCol w:w="1187"/>
        <w:gridCol w:w="1054"/>
        <w:gridCol w:w="1054"/>
        <w:gridCol w:w="1054"/>
        <w:gridCol w:w="1054"/>
      </w:tblGrid>
      <w:tr>
        <w:tc>
          <w:tcPr>
            <w:tcW w:type="dxa" w:w="47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Объем оказанных рыночных услуг,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765991,40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713721,5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806947,8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876823,9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947289,5</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Оптовая и розничная торговля; ремонт автомобилей и мотоциклов,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585996,80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541507,6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621110,9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677215,9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730905,9</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Гостиницы и рестораны,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25545,50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19668,2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22844,9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24851,3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26848,6</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Информация и связь,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30092,70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31761,3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33414,1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35957,0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38996,6</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Прочие,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124356,4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120784,4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129577,8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138799,8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150538,3</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10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объема инвестиций в основной капитал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9"/>
        <w:gridCol w:w="1182"/>
        <w:gridCol w:w="1054"/>
        <w:gridCol w:w="1054"/>
        <w:gridCol w:w="1054"/>
        <w:gridCol w:w="1054"/>
      </w:tblGrid>
      <w:tr>
        <w:tc>
          <w:tcPr>
            <w:tcW w:type="dxa" w:w="47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Инвестиции в основной капитал,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161790,8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169560,2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196417,1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221579,4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255545,7</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Внутренние инвестиции,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112510,6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117546,6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135595,8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154195,5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172073,3</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Республиканский бюджет (включая средства на чрезвычайные ситуации),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4293,8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2400,0</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Местный бюджет,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1749,9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2617,6</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предприятий и организаций,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53223,3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57339,6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67401,7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77891,7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88111,8</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Кредиты банков,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3462,1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6654,3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7026,4</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населения и благотворительная помощь резидентов Кыргызской Республики,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49686,4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51611,3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57999,7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65344,8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73917,5</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Внешние инвестиции,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49280,2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52013,6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60821,3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67383,9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83472,4</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122,5</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Иностранные кредиты,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25658,2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26991,3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31707,5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35683,8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44257,6</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Прямые иностранные инвестиции,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12740,2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12298,5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15053,5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16524,2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20457,7</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Иностранные гранты и гуманитарная помощь,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14060,3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15175,9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18757,1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11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экспорта и импорта товаров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4"/>
        <w:gridCol w:w="1867"/>
        <w:gridCol w:w="1228"/>
        <w:gridCol w:w="965"/>
        <w:gridCol w:w="992"/>
        <w:gridCol w:w="992"/>
        <w:gridCol w:w="992"/>
      </w:tblGrid>
      <w:tr>
        <w:tc>
          <w:tcPr>
            <w:tcW w:type="dxa" w:w="31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2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 в. факт</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1965,5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1842,7</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93,8</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4903,8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4343,0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92,7</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88,6</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106,6</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Сальдо экспорта и импорта товаров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-2938,3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-2500,3</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85,1</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122,1</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Внешнеторговый оборот</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6869,3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6185,7</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7150,0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108,1</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12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экспорта основных видов продукции из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4"/>
        <w:gridCol w:w="1758"/>
        <w:gridCol w:w="1146"/>
        <w:gridCol w:w="938"/>
        <w:gridCol w:w="1024"/>
        <w:gridCol w:w="1024"/>
        <w:gridCol w:w="1024"/>
      </w:tblGrid>
      <w:tr>
        <w:tc>
          <w:tcPr>
            <w:tcW w:type="dxa" w:w="32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7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1965,5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Золото*</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942,4</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Сурьма и изделия из нее*</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Лампы накаливания</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Стекло листовое</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31,8</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Цемент</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40,6</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Предметы одежды и одежные принадлежности</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176,1</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112,7</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Электроэнергия</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Овощи и фрукты</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157,2</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Хлопок-волокно</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33,2</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bl>
    <w:p>
      <w:pPr>
        <w:spacing w:after="60" w:before="120"/>
        <w:ind w:firstLine="567"/>
        <w:jc w:val="both"/>
      </w:pPr>
      <w:r>
        <w:rPr>
          <w:rFonts w:ascii="Arial" w:cs="Arial" w:eastAsia="Arial" w:hAnsi="Arial"/>
          <w:sz w:val="22"/>
          <w:szCs w:val="22"/>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13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импорта основных товаров в Кыргызскую Республику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2"/>
        <w:gridCol w:w="1595"/>
        <w:gridCol w:w="1043"/>
        <w:gridCol w:w="900"/>
        <w:gridCol w:w="1016"/>
        <w:gridCol w:w="1016"/>
        <w:gridCol w:w="1016"/>
      </w:tblGrid>
      <w:tr>
        <w:tc>
          <w:tcPr>
            <w:tcW w:type="dxa" w:w="35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5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0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 в. факт</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всего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4903,8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Нефть и нефтепродукты</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620,0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Бензин</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Авиакеросин</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Дизтопливо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296,8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Уголь</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Газ природный</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Электроэнергия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Машины, специально предназначенные для конкретных отраслей</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494,6</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Электрические машины, .оборудование и аппаратура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362,4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наземного транспорта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Черные металлы и изделия из них</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Пластмассы и изделия из них</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Каучук, резина и изделия из нее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Удобрения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Древесина и изделия из нее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Бумага, картон и изделия из них</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Фармацевтическая продукция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Продовольственные товары (включая сельхозсырье)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Алкогольная продукция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Водка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Пиво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Табак и табачные изделия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Пшеница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14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Среднесрочные прогнозные показатели развития регионов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8"/>
        <w:gridCol w:w="1439"/>
        <w:gridCol w:w="1181"/>
        <w:gridCol w:w="1181"/>
        <w:gridCol w:w="1309"/>
        <w:gridCol w:w="1181"/>
      </w:tblGrid>
      <w:tr>
        <w:tc>
          <w:tcPr>
            <w:tcW w:type="dxa" w:w="388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Валовой региональный продукт</w:t>
            </w:r>
            <w:r>
              <w:rPr>
                <w:rFonts w:ascii="Arial" w:cs="Arial" w:eastAsia="Arial" w:hAnsi="Arial"/>
                <w:sz w:val="22"/>
                <w:szCs w:val="22"/>
              </w:rPr>
              <w:t xml:space="preserve"> (млн. сомов)(10)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635040,7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692363,1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722982,9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Дефлятор,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20387,4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21612,8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22976,4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69928,5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65110,1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72766,0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79676,0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88009,8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70621,4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73923,8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86079,5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60309,0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14511,1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14557,5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15583,7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16627,0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17828,2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44333,0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43830,6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46926,1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49492,5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52914,8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15065,4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14318,7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15266,9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16033,6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17079,7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85532,8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88407,8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95342,5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102989,0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111477,7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237302,5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232735,0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257495,4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280202,7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309068,5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34468,3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37348,9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39650,0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43318,8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Валовая продукция сельского хозяйства, лесного хозяйства и рыболовства </w:t>
            </w:r>
            <w:r>
              <w:rPr>
                <w:rFonts w:ascii="Arial" w:cs="Arial" w:eastAsia="Arial" w:hAnsi="Arial"/>
                <w:sz w:val="22"/>
                <w:szCs w:val="22"/>
              </w:rPr>
              <w:t xml:space="preserve">(млн.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219966,7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233789,4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249231,2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263383,3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279416,8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15774,3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16767,4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17962,9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19089,3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20298,8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41919,7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43985,8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46775,2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49364,7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52167,4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25301,3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28726,4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30539,5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32506,6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14332,5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15116,0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16130,1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16946,7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18011,1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41735,9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44311,8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47265,3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49803,4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52938,3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19889,2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21133,5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22376,2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24649,6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59515,9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64066,5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68329,9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72522,1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77010,4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539,2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579,6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1255,0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Валовая продукция промышленности </w:t>
            </w:r>
            <w:r>
              <w:rPr>
                <w:rFonts w:ascii="Arial" w:cs="Arial" w:eastAsia="Arial" w:hAnsi="Arial"/>
                <w:sz w:val="22"/>
                <w:szCs w:val="22"/>
              </w:rPr>
              <w:t xml:space="preserve">(с учетом стоимости переработки давальческого сырья, без учета покупной электроэнергии)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277543,8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279724,4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297195,7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336251,7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299431,4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1559,8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1640,4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1801,4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33997,0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35611,2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37699,6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40608,3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42579,9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62562,2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63888,3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63188,4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76132,8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32418,1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14219,3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12759,6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13655,0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14697,0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15440,6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1659,3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118222,9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118072,8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129914,8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146610,6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149082,2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36442,0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37860,2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40502,2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45115,9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46285,3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6028,8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6090,5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6317,9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Объем продукции промышленности</w:t>
            </w:r>
            <w:r>
              <w:rPr>
                <w:rFonts w:ascii="Arial" w:cs="Arial" w:eastAsia="Arial" w:hAnsi="Arial"/>
                <w:sz w:val="22"/>
                <w:szCs w:val="22"/>
              </w:rPr>
              <w:t xml:space="preserve"> (без учета стоимости переработки давальческого сырья, но с учетом покупной электроэнергии)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278565,0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281480,6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299718,4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339184,8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302411,5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3215,0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28885,6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30168,2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31998,7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34532,9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36600,3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63042,1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64602,3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63894,7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76438,2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31631,5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2929,1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9549,1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10209,3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11544,3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1756,5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2009,2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125068,7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124032,7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137004,2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155484,5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158885,5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39275,8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41411,0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44185,7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48400,8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49843,2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4677,2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4236,8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4525,2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5106,0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Валовой выпуск сферы услуг</w:t>
            </w:r>
            <w:r>
              <w:rPr>
                <w:rFonts w:ascii="Arial" w:cs="Arial" w:eastAsia="Arial" w:hAnsi="Arial"/>
                <w:sz w:val="22"/>
                <w:szCs w:val="22"/>
              </w:rPr>
              <w:t xml:space="preserve"> (млн. сомов)(11)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474329,3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450714,3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497385,7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537883,1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583353,4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15348,3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15606,6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16799,1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17751,7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18693,1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51394,6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43847,5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47608,0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50752,5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54363,2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24475,1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23338,4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25880,4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28153,3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30507,8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11157,5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10887,9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11472,6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12053,2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33057,1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29763,8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32006,0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33854,0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35805,9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12978,0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9833,9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11240,7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50520,3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49766,9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53565,9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56438,6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59918,5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234940,4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228182,3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255901,2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280705,4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308881,4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40458,0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40191,1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44141,9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47514,3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51228,2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Валовой выпуск оптовой и розничной торговли; ремонт автомобилей и мотоциклов</w:t>
            </w:r>
            <w:r>
              <w:rPr>
                <w:rFonts w:ascii="Arial" w:cs="Arial" w:eastAsia="Arial" w:hAnsi="Arial"/>
                <w:sz w:val="22"/>
                <w:szCs w:val="22"/>
              </w:rPr>
              <w:t xml:space="preserve"> (млн. сомов)(12)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170608,8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158465,7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182612,9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200063,5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216966,0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3644,3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3769,4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4129,6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4478,5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21170,3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20085,4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23146,0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25357,9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7367,7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7876,4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8629,1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9358,1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3895,5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4267,8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4628,3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14586,8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13576,2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15645,0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17140,0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18588,1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4650,6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6519,2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23423,0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21971,8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25319,9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27739,5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30083,1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76987,0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72151,0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83145,5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91090,9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98786,8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 </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15276,7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12433,6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14328,2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15697,5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17023,7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Объем оказанных рыночных услуг</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765991,4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713721,5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806947,8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876823,9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947289,5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18525,2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16712,3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18895,3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20531,5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22181,5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79370,2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72435,6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81897,1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88988,9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96140,4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30268,2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29080,2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32878,7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35725,7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38596,8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11624,2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12630,8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13645,9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49148,0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43693,3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49400,5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53678,3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57992,1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18846,80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19657,2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22224,8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24149,3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26090,1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94630,3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88318,4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99854,5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108501,3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117220,9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399642,80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371231,2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419721,4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456066,4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492718,0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64919,60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62312,1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70451,3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76551,9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82704,0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Оптовая и розничная торговля; ремонт автомобилей и мотоциклов</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585996,8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541507,6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621110,9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677215,9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730905,9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15017,8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13355,3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15318,6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67541,4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56680,7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65012,9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70885,6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76505,4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21278,8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20868,1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23935,8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26097,9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28166,9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8462,20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7946,1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10725,3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44256,2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42258,7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48470,9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52849,2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57039,1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 </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16106,60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16799,2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19268,7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22674,9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79534,4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76799,7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88089,5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96046,6 </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103661,2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279947,10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255076,0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292573,0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319001,1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344291,7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53852,30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51723,8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59327,4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64686,41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69814,8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Валовая продукция строительства</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171887,8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178886,0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218255,71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244046,1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3773,4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4284,2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24982,9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25474,1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29724,1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32783,7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38527,9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19439,5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22302,3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24551,6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5456,5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5679,7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6145,4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6800,4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7368,6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7549,2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7676,6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8367,1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9069,5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5322,3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27208,3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28312,3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32299,7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38446,6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72996,8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76267,6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82956,8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91571,7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100994,9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8635,8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8887,4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11076,4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107,3</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Объем инвестиций в основной капитал</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161790,8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169560,2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196417,1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221579,4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255545,7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3770,5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3914,6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24356,4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24724,1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29972,3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33383,5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39090,6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26074,2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27739,3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31408,9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35331,6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39525,5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6173,4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7378,0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7441,8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8013,9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6957,4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8538,7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11085,6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22018,2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22708,4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25484,6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28943,4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34199,3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61829,0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65874,4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77932,9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89540,2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104775,5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5572,7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6135,7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7138,2</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Численность занятых в экономике, </w:t>
            </w:r>
            <w:r>
              <w:rPr>
                <w:rFonts w:ascii="Arial" w:cs="Arial" w:eastAsia="Arial" w:hAnsi="Arial"/>
                <w:sz w:val="22"/>
                <w:szCs w:val="22"/>
              </w:rPr>
              <w:t xml:space="preserve">тыс. чел.</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2476,7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472,0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Созданные рабочие места(13), </w:t>
            </w:r>
            <w:r>
              <w:rPr>
                <w:rFonts w:ascii="Arial" w:cs="Arial" w:eastAsia="Arial" w:hAnsi="Arial"/>
                <w:sz w:val="22"/>
                <w:szCs w:val="22"/>
              </w:rPr>
              <w:t xml:space="preserve">единиц</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97187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25245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25131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18065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Уровень общей безработицы,</w:t>
            </w:r>
            <w:r>
              <w:rPr>
                <w:rFonts w:ascii="Arial" w:cs="Arial" w:eastAsia="Arial" w:hAnsi="Arial"/>
                <w:sz w:val="22"/>
                <w:szCs w:val="22"/>
              </w:rPr>
              <w:t xml:space="preserve"> в %</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Среднемесячная оплата труда,</w:t>
            </w:r>
            <w:r>
              <w:rPr>
                <w:rFonts w:ascii="Arial" w:cs="Arial" w:eastAsia="Arial" w:hAnsi="Arial"/>
                <w:sz w:val="22"/>
                <w:szCs w:val="22"/>
              </w:rPr>
              <w:t xml:space="preserve">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18655,2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19420,0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20332,8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12237,1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12695,5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13271,6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13959,1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16680,1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17273,2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18972,4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13229,4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13984,1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14596,5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15391,6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16553,4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17294,7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17836,3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18656,5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11730,5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12354,0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12906,3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13691,6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14999,6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15673,7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16415,3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17162,0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15929,6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16692,9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17408,4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18387,8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22634,4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23579,5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24532,0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25755,2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16296,6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16861,2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17702,3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Прожиточный минимум,</w:t>
            </w:r>
            <w:r>
              <w:rPr>
                <w:rFonts w:ascii="Arial" w:cs="Arial" w:eastAsia="Arial" w:hAnsi="Arial"/>
                <w:sz w:val="22"/>
                <w:szCs w:val="22"/>
              </w:rPr>
              <w:t xml:space="preserve"> сом.</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5664,9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5897,2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4498,6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4739,6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4891,9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5183,8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5176,0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5526,5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5761,3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4665,4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4780,6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5033,3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5164,8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5286,6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5388,1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5572,1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4310,1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4618,3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4721,5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4815,1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4599,21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5040,1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5355,1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4956,2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5274,7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5819,5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bl>
    <w:p>
      <w:pPr>
        <w:spacing w:after="60" w:before="120"/>
        <w:ind w:firstLine="567"/>
        <w:jc w:val="both"/>
      </w:pPr>
      <w:r>
        <w:rPr>
          <w:rFonts w:ascii="Arial" w:cs="Arial" w:eastAsia="Arial" w:hAnsi="Arial"/>
          <w:sz w:val="22"/>
          <w:szCs w:val="22"/>
        </w:rPr>
        <w:t xml:space="preserve">(1)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(2) По методике Международного валютного фонда.</w:t>
      </w:r>
    </w:p>
    <w:p>
      <w:pPr>
        <w:spacing w:after="60"/>
        <w:ind w:firstLine="567"/>
        <w:jc w:val="both"/>
      </w:pPr>
      <w:r>
        <w:rPr>
          <w:rFonts w:ascii="Arial" w:cs="Arial" w:eastAsia="Arial" w:hAnsi="Arial"/>
          <w:sz w:val="22"/>
          <w:szCs w:val="22"/>
        </w:rPr>
        <w:t xml:space="preserve">(3)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(4) Данные Социального фонда Кыргызской Республики.</w:t>
      </w:r>
    </w:p>
    <w:p>
      <w:pPr>
        <w:spacing w:after="60"/>
        <w:ind w:firstLine="567"/>
        <w:jc w:val="both"/>
      </w:pPr>
      <w:r>
        <w:rPr>
          <w:rFonts w:ascii="Arial" w:cs="Arial" w:eastAsia="Arial" w:hAnsi="Arial"/>
          <w:sz w:val="22"/>
          <w:szCs w:val="22"/>
        </w:rPr>
        <w:t xml:space="preserve">(5)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(6)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(7)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2"/>
          <w:szCs w:val="22"/>
        </w:rPr>
        <w:t xml:space="preserve">(8)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2"/>
          <w:szCs w:val="22"/>
        </w:rPr>
        <w:t xml:space="preserve">(9)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2"/>
          <w:szCs w:val="22"/>
        </w:rPr>
        <w:t xml:space="preserve">(10) Оценка Министерства экономики Кыргызской Республики за 2019 год.</w:t>
      </w:r>
    </w:p>
    <w:p>
      <w:pPr>
        <w:spacing w:after="60"/>
        <w:ind w:firstLine="567"/>
        <w:jc w:val="both"/>
      </w:pPr>
      <w:r>
        <w:rPr>
          <w:rFonts w:ascii="Arial" w:cs="Arial" w:eastAsia="Arial" w:hAnsi="Arial"/>
          <w:sz w:val="22"/>
          <w:szCs w:val="22"/>
        </w:rPr>
        <w:t xml:space="preserve">(11) Оценка Министерства экономики Кыргызской Республики за 2019 год.</w:t>
      </w:r>
    </w:p>
    <w:p>
      <w:pPr>
        <w:spacing w:after="60"/>
        <w:ind w:firstLine="567"/>
        <w:jc w:val="both"/>
      </w:pPr>
      <w:r>
        <w:rPr>
          <w:rFonts w:ascii="Arial" w:cs="Arial" w:eastAsia="Arial" w:hAnsi="Arial"/>
          <w:sz w:val="22"/>
          <w:szCs w:val="22"/>
        </w:rPr>
        <w:t xml:space="preserve">(12) Оценка Министерства экономики Кыргызской Республики за 2019 год.</w:t>
      </w:r>
    </w:p>
    <w:p>
      <w:pPr>
        <w:spacing w:after="60"/>
        <w:ind w:firstLine="567"/>
        <w:jc w:val="both"/>
      </w:pPr>
      <w:r>
        <w:rPr>
          <w:rFonts w:ascii="Arial" w:cs="Arial" w:eastAsia="Arial" w:hAnsi="Arial"/>
          <w:sz w:val="22"/>
          <w:szCs w:val="22"/>
        </w:rPr>
        <w:t xml:space="preserve">(13) Включая данные МТСР КР по неформальному сектору.".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sgup7qgi_inv2jamu6xx">
      <w:r>
        <w:rPr>
          <w:rFonts w:ascii="Arial" w:cs="Arial" w:eastAsia="Arial" w:hAnsi="Arial"/>
          <w:color w:val="132D3F"/>
          <w:sz w:val="16"/>
          <w:szCs w:val="16"/>
          <w:u w:val="single"/>
        </w:rPr>
        <w:t xml:space="preserve">dalil.kg/document/157922</w:t>
      </w:r>
    </w:hyperlink>
  </w:p>
  <w:p>
    <w:pPr>
      <w:spacing w:after="0" w:before="40"/>
      <w:jc w:val="center"/>
    </w:pPr>
    <w:hyperlink w:history="1" r:id="rIdkqaq02een3fby-qizatc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2dlfdnzffzod8gbpqmnr" Type="http://schemas.openxmlformats.org/officeDocument/2006/relationships/hyperlink" Target="https://dalil.kg/document/111338" TargetMode="External"/><Relationship Id="rIdnzpyzvslnhoe18octqcdp" Type="http://schemas.openxmlformats.org/officeDocument/2006/relationships/hyperlink" Target="https://dalil.kg/document/203685#st_10" TargetMode="External"/><Relationship Id="rIdvdixktgvhbjl_iv5txti6" Type="http://schemas.openxmlformats.org/officeDocument/2006/relationships/hyperlink" Target="https://dalil.kg/document/203685#st_17" TargetMode="External"/><Relationship Id="rIdy8jytlz0mqjsodqz0f3sq" Type="http://schemas.openxmlformats.org/officeDocument/2006/relationships/hyperlink" Target="https://dalil.kg/document/157921" TargetMode="External"/><Relationship Id="rIdkcq_vaspjkckouxh8wkgk" Type="http://schemas.openxmlformats.org/officeDocument/2006/relationships/hyperlink" Target="https://dalil.kg/document/157921#pr" TargetMode="External"/><Relationship Id="rIdiknqjgzdzrw1byj63n1y2" Type="http://schemas.openxmlformats.org/officeDocument/2006/relationships/hyperlink" Target="https://dalil.kg/document/157921" TargetMode="External"/><Relationship Id="rIdgteypnjju4neapevyn9_c" Type="http://schemas.openxmlformats.org/officeDocument/2006/relationships/hyperlink" Target="https://dalil.kg/document/157922#pr"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sgup7qgi_inv2jamu6xx" Type="http://schemas.openxmlformats.org/officeDocument/2006/relationships/hyperlink" Target="https://dalil.kg/document/157922" TargetMode="External"/><Relationship Id="rIdkqaq02een3fby-qizatc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2026-09-30T13:41:40.904Z</dcterms:created>
  <dcterms:modified xsi:type="dcterms:W3CDTF">2026-09-30T13:41:40.904Z</dcterms:modified>
</cp:coreProperties>
</file>

<file path=docProps/custom.xml><?xml version="1.0" encoding="utf-8"?>
<Properties xmlns="http://schemas.openxmlformats.org/officeDocument/2006/custom-properties" xmlns:vt="http://schemas.openxmlformats.org/officeDocument/2006/docPropsVTypes"/>
</file>