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18 января 2021 года № 7</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spacing w:after="120"/>
        <w:ind w:firstLine="397"/>
        <w:jc w:val="both"/>
      </w:pPr>
      <w:r>
        <w:rPr>
          <w:rFonts w:ascii="Arial" w:cs="Arial" w:eastAsia="Arial" w:hAnsi="Arial"/>
          <w:sz w:val="24"/>
          <w:szCs w:val="24"/>
        </w:rPr>
        <w:t xml:space="preserve">В соответствии со </w:t>
      </w:r>
      <w:hyperlink w:history="1" r:id="rId9av78-fubldoxwlfwqlsa">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gdh1uxx697rucsegh3ob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nkxnfi_vfx0kzaloq5l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и слабоалкогольных напитков", инициированный депутатами Жогорку Кенеша Кыргызской Республики Алтыбаевой А.Т., Осмоновой А.Ш., Карашевым А.А., Аскаровой А.А., Мамашовой А.Т., Мавляновой М.Э., Жамалдиновым З.И., Строковой Е.Г., Никитенко Н.В., Орозовой К.Б., Каримовым Н.Т., Момбековым Р.Ч. и Алимбековым Н.К.</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января 2021 года № 7</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vuo1iicpqokzszppmzmis">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mnyw86udmxe7mxdr5mq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(далее - проект Закона), инициированный депутатами Жогорку Кенеша Кыргызской Республики Алтыбаевой А.Т., Осмоновой А.Ш., Карашевым А.А., Аскаровой А.А., Мамашовой А.Т., Мавляновой М.Э., Жамалдиновым З.И., Строковой Е.Г., Никитенко Н.В., Орозовой К.Б., Каримовым Н.Т., Момбековым Р.Ч. и Алимбековым Н.К., приходит к следующему заключению.</w:t>
      </w:r>
    </w:p>
    <w:p>
      <w:pPr>
        <w:spacing w:after="60"/>
        <w:ind w:firstLine="567"/>
        <w:jc w:val="both"/>
      </w:pPr>
      <w:r>
        <w:rPr>
          <w:rFonts w:ascii="Arial" w:cs="Arial" w:eastAsia="Arial" w:hAnsi="Arial"/>
          <w:sz w:val="24"/>
          <w:szCs w:val="24"/>
        </w:rPr>
        <w:t xml:space="preserve">1. Проектом Закона, инициированным депутатами Жогорку Кенеша Кыргызской Республики, предлагается запретить производство и оборот тонизирующих слабоалкогольных напитков на территории Кыргызской Республики.</w:t>
      </w:r>
    </w:p>
    <w:p>
      <w:pPr>
        <w:spacing w:after="60"/>
        <w:ind w:firstLine="567"/>
        <w:jc w:val="both"/>
      </w:pPr>
      <w:r>
        <w:rPr>
          <w:rFonts w:ascii="Arial" w:cs="Arial" w:eastAsia="Arial" w:hAnsi="Arial"/>
          <w:sz w:val="24"/>
          <w:szCs w:val="24"/>
        </w:rPr>
        <w:t xml:space="preserve">Однако в соответствии со статьей 28 Договора о Евразийском экономическом союзе от 29 мая 2014 года (далее - Договор о ЕАЭС), в рамках функционирования внутреннего рынка во взаимной торговле товарами государства-члены ЕАЭС не принимают ввозные и вывозные таможенные пошлины (иные пошлины, налоги и сборы, имеющие эквивалентное действие), меры нетарифного регулирования, специальные защитные, антидемпинговые и компенсационные меры. При перемещении товаров в рамках ЕАЭС отсутствует таможенный контроль.</w:t>
      </w:r>
    </w:p>
    <w:p>
      <w:pPr>
        <w:spacing w:after="60"/>
        <w:ind w:firstLine="567"/>
        <w:jc w:val="both"/>
      </w:pPr>
      <w:r>
        <w:rPr>
          <w:rFonts w:ascii="Arial" w:cs="Arial" w:eastAsia="Arial" w:hAnsi="Arial"/>
          <w:sz w:val="24"/>
          <w:szCs w:val="24"/>
        </w:rPr>
        <w:t xml:space="preserve">В связи с чем, вопрос регулирования поставок тонизирующих слабоалкогольных напитков из стран ЕАЭС остается нерешенным.</w:t>
      </w:r>
    </w:p>
    <w:p>
      <w:pPr>
        <w:spacing w:after="60"/>
        <w:ind w:firstLine="567"/>
        <w:jc w:val="both"/>
      </w:pPr>
      <w:r>
        <w:rPr>
          <w:rFonts w:ascii="Arial" w:cs="Arial" w:eastAsia="Arial" w:hAnsi="Arial"/>
          <w:sz w:val="24"/>
          <w:szCs w:val="24"/>
        </w:rPr>
        <w:t xml:space="preserve">При этом следует отметить, что в соответствии со статьей 29 Договора о ЕАЭС, государства-члены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 в случае, если такие ограничения необходимы для охраны жизни и здоровья человека, охраны окружающей среды, охраны животных и растений.</w:t>
      </w:r>
    </w:p>
    <w:p>
      <w:pPr>
        <w:spacing w:after="60"/>
        <w:ind w:firstLine="567"/>
        <w:jc w:val="both"/>
      </w:pPr>
      <w:r>
        <w:rPr>
          <w:rFonts w:ascii="Arial" w:cs="Arial" w:eastAsia="Arial" w:hAnsi="Arial"/>
          <w:sz w:val="24"/>
          <w:szCs w:val="24"/>
        </w:rPr>
        <w:t xml:space="preserve">В соответствии с разделом II приложения № 7 к Договору о ЕАЭС в торговле с третьими странами на территории Союза применяются единые меры нетарифного регулирования. Решение о введении, применении, продлении и отмене мер нетарифного регулирования принимается Евразийской экономической комиссией.</w:t>
      </w:r>
    </w:p>
    <w:p>
      <w:pPr>
        <w:spacing w:after="60"/>
        <w:ind w:firstLine="567"/>
        <w:jc w:val="both"/>
      </w:pPr>
      <w:r>
        <w:rPr>
          <w:rFonts w:ascii="Arial" w:cs="Arial" w:eastAsia="Arial" w:hAnsi="Arial"/>
          <w:sz w:val="24"/>
          <w:szCs w:val="24"/>
        </w:rPr>
        <w:t xml:space="preserve">В соответствии с разделом X приложения № 7 к Договору о ЕАЭС в исключительных случаях по основаниям, предусмотренным разделами VII и VIII приложения № 7 к Договору о ЕАЭС, государства-члены в торговле с третьими странами могут в одностороннем порядке вводить временные меры, в том числе по основаниям, отличным от указанных в разделах III и IV приложений № 7 к Договору о ЕАЭС. Государство-член ЕАЭС, вводящее временную меру, заблаговременно, но не позднее 3 календарных дней до даты введения, уведомляет об этом Комиссию ЕЭК, и вносит предложение о введении такой меры на территории ЕАЭС. В случае если решение о введении временной меры на территории Союза не принято, Комиссия информирует государство-член, которое ввело временную меру, и таможенные органы государств-членов о том, что временная мера действует не более 6 месяцев с даты ее введения.</w:t>
      </w:r>
    </w:p>
    <w:p>
      <w:pPr>
        <w:spacing w:after="60"/>
        <w:ind w:firstLine="567"/>
        <w:jc w:val="both"/>
      </w:pPr>
      <w:r>
        <w:rPr>
          <w:rFonts w:ascii="Arial" w:cs="Arial" w:eastAsia="Arial" w:hAnsi="Arial"/>
          <w:sz w:val="24"/>
          <w:szCs w:val="24"/>
        </w:rPr>
        <w:t xml:space="preserve">Более того, отмечаем, что на территории республики с 12 августа 2017 года действует Технический регламент Таможенного союза "О безопасности пищевой продукции" (ТР ТС 021/2011), объектом регулирования которого являются тонизирующие напитки, которые могут быть как безалкогольными, так и слабоалкогольными.</w:t>
      </w:r>
    </w:p>
    <w:p>
      <w:pPr>
        <w:spacing w:after="60"/>
        <w:ind w:firstLine="567"/>
        <w:jc w:val="both"/>
      </w:pPr>
      <w:r>
        <w:rPr>
          <w:rFonts w:ascii="Arial" w:cs="Arial" w:eastAsia="Arial" w:hAnsi="Arial"/>
          <w:sz w:val="24"/>
          <w:szCs w:val="24"/>
        </w:rPr>
        <w:t xml:space="preserve">В соответствии со статьей 51 Договора о ЕАЭС технические регламенты союза имеют прямое действие на территории Таможенного союза (далее ТС), Техническими регламентами устанавливаются единые для применения и исполнения требования к продукции. Согласно статье 53 Договора о ЕАЭС продукция, выпускаемая в обращение на территории ТС, должна быть безопасной. Продукция, в отношении которой вступил в силу Технический регламент Союза, выпускается в обращение на территории Союза при условии, что она прошла необходимые процедуры оценки соответствия, установленные Техническим регламентом Союза. Государства-члены обеспечивают обращение такой продукции без предъявления дополнительных требований по отношению к содержащимся в Техническом регламенте Союза и без проведения дополнительных процедур оценки соответствия.</w:t>
      </w:r>
    </w:p>
    <w:p>
      <w:pPr>
        <w:spacing w:after="60"/>
        <w:ind w:firstLine="567"/>
        <w:jc w:val="both"/>
      </w:pPr>
      <w:r>
        <w:rPr>
          <w:rFonts w:ascii="Arial" w:cs="Arial" w:eastAsia="Arial" w:hAnsi="Arial"/>
          <w:sz w:val="24"/>
          <w:szCs w:val="24"/>
        </w:rPr>
        <w:t xml:space="preserve">Согласно ТР ТС 021/2011 тонизирующие напитки - это "безалкогольные и слабоалкогольные напитки, содержащие тонизирующие вещества (компоненты), в том числе растительного происхождения, в количестве, достаточном для обеспечения тонизирующего эффекта на организм человека, за исключением чая, кофе и напитков на их основе";</w:t>
      </w:r>
    </w:p>
    <w:p>
      <w:pPr>
        <w:spacing w:after="60"/>
        <w:ind w:firstLine="567"/>
        <w:jc w:val="both"/>
      </w:pPr>
      <w:r>
        <w:rPr>
          <w:rFonts w:ascii="Arial" w:cs="Arial" w:eastAsia="Arial" w:hAnsi="Arial"/>
          <w:sz w:val="24"/>
          <w:szCs w:val="24"/>
        </w:rPr>
        <w:t xml:space="preserve">"Тонизирующие напитки (в том числе энергетические) производятся (изготавливаются) в виде безалкогольных и слабоалкогольных напитков. В качестве источников тонизирующих веществ (компонентов) допускается использовать кофеин и содержащие его растения (растительные экстракты), чай, кофе, гуарану, мате, а также лекарственные растения и их экстракты, оказывающие тонизирующее действие (женьшень, левзея, родиола розовая, лимонник, элеутерококк). В состав тонизирующих безалкогольных напитков допускается вводить не более двух тонизирующих веществ (компонентов), тонизирующих слабоалкогольных напитков - не более одного. При производстве (изготовлении) тонизирующих напилков допускается использование минеральных веществ, легко усвояемых углеводов, витаминов и витаминоподобных веществ, субстратов и стимуляторов энергетического обмена. Содержание кофеина в тонизирующих напитках не должно превышать 400 мг/дм</w:t>
      </w:r>
      <w:r>
        <w:rPr>
          <w:rFonts w:ascii="Arial" w:cs="Arial" w:eastAsia="Arial" w:hAnsi="Arial"/>
          <w:sz w:val="24"/>
          <w:szCs w:val="24"/>
        </w:rPr>
        <w:t xml:space="preserve">3</w:t>
      </w:r>
      <w:r>
        <w:rPr>
          <w:rFonts w:ascii="Arial" w:cs="Arial" w:eastAsia="Arial" w:hAnsi="Arial"/>
          <w:sz w:val="24"/>
          <w:szCs w:val="24"/>
        </w:rPr>
        <w:t xml:space="preserve">." (статья 9).</w:t>
      </w:r>
    </w:p>
    <w:p>
      <w:pPr>
        <w:spacing w:after="60"/>
        <w:ind w:firstLine="567"/>
        <w:jc w:val="both"/>
      </w:pPr>
      <w:r>
        <w:rPr>
          <w:rFonts w:ascii="Arial" w:cs="Arial" w:eastAsia="Arial" w:hAnsi="Arial"/>
          <w:sz w:val="24"/>
          <w:szCs w:val="24"/>
        </w:rPr>
        <w:t xml:space="preserve">Кроме того, слабоалкогольные напитки являются объектом регулирования Технического регламента Евразийского экономического союза "О безопасности алкогольной продукции" (ТР ЕАЭС 047/2018), вступающего в силу с 1 января 2022 года.</w:t>
      </w:r>
    </w:p>
    <w:p>
      <w:pPr>
        <w:spacing w:after="60"/>
        <w:ind w:firstLine="567"/>
        <w:jc w:val="both"/>
      </w:pPr>
      <w:r>
        <w:rPr>
          <w:rFonts w:ascii="Arial" w:cs="Arial" w:eastAsia="Arial" w:hAnsi="Arial"/>
          <w:sz w:val="24"/>
          <w:szCs w:val="24"/>
        </w:rPr>
        <w:t xml:space="preserve">Согласно ТР ЕАЭС 047/2018 слабоалкогольные напитки относятся к алкогольной продукции, при этом содержанием этилового спирта в готовой продукции должно быть менее 7 процентов. Такая продукция является безопасной и допускается к выпуску в обращение на территории ЕАЭС при наличии документов по оценке соответствия.</w:t>
      </w:r>
    </w:p>
    <w:p>
      <w:pPr>
        <w:spacing w:after="60"/>
        <w:ind w:firstLine="567"/>
        <w:jc w:val="both"/>
      </w:pPr>
      <w:r>
        <w:rPr>
          <w:rFonts w:ascii="Arial" w:cs="Arial" w:eastAsia="Arial" w:hAnsi="Arial"/>
          <w:sz w:val="24"/>
          <w:szCs w:val="24"/>
        </w:rPr>
        <w:t xml:space="preserve">Согласно справке-обоснованию к проекту Закона предполагается запретить производство и оборот такой продукции, как энергетики "Ягуар" с содержанием спирта этилового 9%. В этой связи отмечаем, что данный вид продукции в соответствии с ТР ТС 047/2018 не относится к слабоалкогольным напиткам.</w:t>
      </w:r>
    </w:p>
    <w:p>
      <w:pPr>
        <w:spacing w:after="60"/>
        <w:ind w:firstLine="567"/>
        <w:jc w:val="both"/>
      </w:pPr>
      <w:r>
        <w:rPr>
          <w:rFonts w:ascii="Arial" w:cs="Arial" w:eastAsia="Arial" w:hAnsi="Arial"/>
          <w:sz w:val="24"/>
          <w:szCs w:val="24"/>
        </w:rPr>
        <w:t xml:space="preserve">На основании изложенного абзац второй части первой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 производство и реализация тонизирующих слабоалкогольных напитков с содержанием этилового спирта (крепостью) более 7 процентов объема готовой продукции".</w:t>
      </w:r>
    </w:p>
    <w:p>
      <w:pPr>
        <w:spacing w:after="60"/>
        <w:ind w:firstLine="567"/>
        <w:jc w:val="both"/>
      </w:pPr>
      <w:r>
        <w:rPr>
          <w:rFonts w:ascii="Arial" w:cs="Arial" w:eastAsia="Arial" w:hAnsi="Arial"/>
          <w:sz w:val="24"/>
          <w:szCs w:val="24"/>
        </w:rPr>
        <w:t xml:space="preserve">Прилагаемый к законопроекту анализ регулятивного воздействия широко раскрывает негативное воздействие энергетических алкогольных напитков на молодое поколение и реакцию многих стран, озабоченных здоровьем населения.</w:t>
      </w:r>
    </w:p>
    <w:p>
      <w:pPr>
        <w:spacing w:after="60"/>
        <w:ind w:firstLine="567"/>
        <w:jc w:val="both"/>
      </w:pPr>
      <w:r>
        <w:rPr>
          <w:rFonts w:ascii="Arial" w:cs="Arial" w:eastAsia="Arial" w:hAnsi="Arial"/>
          <w:sz w:val="24"/>
          <w:szCs w:val="24"/>
        </w:rPr>
        <w:t xml:space="preserve">Также невозможность полного государственного контроля в Кыргызской Республике за реализацией тонизирующих слабоалкогольных напитков создает большую проблему. Следствием чего является доступность и увеличение потребления данных напитков.</w:t>
      </w:r>
    </w:p>
    <w:p>
      <w:pPr>
        <w:spacing w:after="60"/>
        <w:ind w:firstLine="567"/>
        <w:jc w:val="both"/>
      </w:pPr>
      <w:r>
        <w:rPr>
          <w:rFonts w:ascii="Arial" w:cs="Arial" w:eastAsia="Arial" w:hAnsi="Arial"/>
          <w:sz w:val="24"/>
          <w:szCs w:val="24"/>
        </w:rPr>
        <w:t xml:space="preserve">Законодательством Кыргызской Республики продажа тонизирующих слабоалкогольных напитков лицам, не достигшим 18 лет, запрещена. В анализе регулятивного воздействия указывается, что контроль над выполнением данного требования проводится территориальными подразделениями Министерства сельского хозяйства, пищевой промышленности и мелиорации Кыргызской Республики. Следует отметить, что с ноября 2019 года эта функция передана Государственной налоговой службе при Правительстве Кыргызской Республики (далее - ГНС).</w:t>
      </w:r>
    </w:p>
    <w:p>
      <w:pPr>
        <w:spacing w:after="60"/>
        <w:ind w:firstLine="567"/>
        <w:jc w:val="both"/>
      </w:pPr>
      <w:r>
        <w:rPr>
          <w:rFonts w:ascii="Arial" w:cs="Arial" w:eastAsia="Arial" w:hAnsi="Arial"/>
          <w:sz w:val="24"/>
          <w:szCs w:val="24"/>
        </w:rPr>
        <w:t xml:space="preserve">Введение запрета на производство и оборот тонизирующих слабоалкогольных напитков в республике позволит сократить их употребление молодежью и тем самым сохранит здоровье подрастающего поколения, предупредит возникновение алкоголизма среди молодежи и снизит негативные последствия, возникающие в результате употребления тонизирующих слабоалкогольных напитков.</w:t>
      </w:r>
    </w:p>
    <w:p>
      <w:pPr>
        <w:spacing w:after="60"/>
        <w:ind w:firstLine="567"/>
        <w:jc w:val="both"/>
      </w:pPr>
      <w:r>
        <w:rPr>
          <w:rFonts w:ascii="Arial" w:cs="Arial" w:eastAsia="Arial" w:hAnsi="Arial"/>
          <w:sz w:val="24"/>
          <w:szCs w:val="24"/>
        </w:rPr>
        <w:t xml:space="preserve">2. В представленном разработчиками анализе регулятивного воздействия, в части экономического анализа приведены данные о поступлении акцизного налога, которые выглядят следующим образом:</w:t>
      </w:r>
    </w:p>
    <w:p>
      <w:pPr>
        <w:spacing w:after="60"/>
        <w:ind w:firstLine="567"/>
        <w:jc w:val="both"/>
      </w:pPr>
      <w:r>
        <w:rPr>
          <w:rFonts w:ascii="Arial" w:cs="Arial" w:eastAsia="Arial" w:hAnsi="Arial"/>
          <w:sz w:val="24"/>
          <w:szCs w:val="24"/>
        </w:rPr>
        <w:t xml:space="preserve">- 2018 год - 25,4 млн. сомов;</w:t>
      </w:r>
    </w:p>
    <w:p>
      <w:pPr>
        <w:spacing w:after="60"/>
        <w:ind w:firstLine="567"/>
        <w:jc w:val="both"/>
      </w:pPr>
      <w:r>
        <w:rPr>
          <w:rFonts w:ascii="Arial" w:cs="Arial" w:eastAsia="Arial" w:hAnsi="Arial"/>
          <w:sz w:val="24"/>
          <w:szCs w:val="24"/>
        </w:rPr>
        <w:t xml:space="preserve">- 2019 год - 16,3 млн. сомов.</w:t>
      </w:r>
    </w:p>
    <w:p>
      <w:pPr>
        <w:spacing w:after="60"/>
        <w:ind w:firstLine="567"/>
        <w:jc w:val="both"/>
      </w:pPr>
      <w:r>
        <w:rPr>
          <w:rFonts w:ascii="Arial" w:cs="Arial" w:eastAsia="Arial" w:hAnsi="Arial"/>
          <w:sz w:val="24"/>
          <w:szCs w:val="24"/>
        </w:rPr>
        <w:t xml:space="preserve">В соответствии с постановлением Правительства Кыргызской Республики от 26 декабря 2019 года № 711 ставка акцизного налога на слабоалкогольные напитки повышена с 70 сомов за литр до 200 сомов за литр. За январь-май 2020 года акцизный налог на слабоалкогольные напитки не уплачивался, при этом имеется факт ввоза только одним субъектом, который уплатил за них акциз в 2019 году. Производство слабоалкогольных напитков в Кыргызской Республике не осуществляется. Также, в случае полного запрета оборота слабоалкогольных напитков возможен риск нелегального оборота данной продукции. Следовательно, при запрете производства и оборота тонизирующих слабоалкогольных напитков республика теряет ежегодно около 20 млн. сомов.</w:t>
      </w:r>
    </w:p>
    <w:p>
      <w:pPr>
        <w:spacing w:after="60"/>
        <w:ind w:firstLine="567"/>
        <w:jc w:val="both"/>
      </w:pPr>
      <w:r>
        <w:rPr>
          <w:rFonts w:ascii="Arial" w:cs="Arial" w:eastAsia="Arial" w:hAnsi="Arial"/>
          <w:sz w:val="24"/>
          <w:szCs w:val="24"/>
        </w:rPr>
        <w:t xml:space="preserve">3. При проведении анализа регулятивного воздействия были нарушены следующие требования.</w:t>
      </w:r>
    </w:p>
    <w:p>
      <w:pPr>
        <w:spacing w:after="60"/>
        <w:ind w:firstLine="567"/>
        <w:jc w:val="both"/>
      </w:pPr>
      <w:r>
        <w:rPr>
          <w:rFonts w:ascii="Arial" w:cs="Arial" w:eastAsia="Arial" w:hAnsi="Arial"/>
          <w:sz w:val="24"/>
          <w:szCs w:val="24"/>
        </w:rPr>
        <w:t xml:space="preserve">В соответствии с </w:t>
      </w:r>
      <w:hyperlink w:history="1" r:id="rIdt8azgubfsqca3ditx--_v">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wbauw6lldebfqita-_w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в части "определение проблем", "оценка ожидаемых последствий", "результаты общественных обсуждений" необходимо указать информацию, отражающую отношение к вариантам регулирования заинтересованных сторон.</w:t>
      </w:r>
    </w:p>
    <w:p>
      <w:pPr>
        <w:spacing w:after="60"/>
        <w:ind w:firstLine="567"/>
        <w:jc w:val="both"/>
      </w:pPr>
      <w:r>
        <w:rPr>
          <w:rFonts w:ascii="Arial" w:cs="Arial" w:eastAsia="Arial" w:hAnsi="Arial"/>
          <w:sz w:val="24"/>
          <w:szCs w:val="24"/>
        </w:rPr>
        <w:t xml:space="preserve">Согласно указанной Методике, заинтересованные стороны - юридические лица, физические лица и их объединения, государственные органы и органы местного самоуправления, на которых воздействуют изучаемые проблемы или предлагаемое государственное регулирование. При этом в состав рабочей группы включаются специалисты в области юриспруденции, финансов и экономики, в сфере вводимого регулирования.</w:t>
      </w:r>
    </w:p>
    <w:p>
      <w:pPr>
        <w:spacing w:after="60"/>
        <w:ind w:firstLine="567"/>
        <w:jc w:val="both"/>
      </w:pPr>
      <w:r>
        <w:rPr>
          <w:rFonts w:ascii="Arial" w:cs="Arial" w:eastAsia="Arial" w:hAnsi="Arial"/>
          <w:sz w:val="24"/>
          <w:szCs w:val="24"/>
        </w:rPr>
        <w:t xml:space="preserve">В связи с этим отмечаем, что в состав рабочей группы необходимо включать представителей заинтересованных бизнес-структур в данной сфере, а именно субъекты предпринимательства, непосредственно осуществляющие поставку и реализацию слабоалкогольной продукции.</w:t>
      </w:r>
    </w:p>
    <w:p>
      <w:pPr>
        <w:spacing w:after="60"/>
        <w:ind w:firstLine="567"/>
        <w:jc w:val="both"/>
      </w:pPr>
      <w:r>
        <w:rPr>
          <w:rFonts w:ascii="Arial" w:cs="Arial" w:eastAsia="Arial" w:hAnsi="Arial"/>
          <w:sz w:val="24"/>
          <w:szCs w:val="24"/>
        </w:rPr>
        <w:t xml:space="preserve">4. Кроме того, сообщаем о необходимости дополнительного анализа редакции статьи 2 проекта Закона, в части регламентации вопросов о переходных положениях и уведомлении соответствующих органов ЕАЭС, в рамках обязательств Кыргызской Республики.</w:t>
      </w:r>
    </w:p>
    <w:p>
      <w:pPr>
        <w:spacing w:after="60"/>
        <w:ind w:firstLine="567"/>
        <w:jc w:val="both"/>
      </w:pPr>
      <w:r>
        <w:rPr>
          <w:rFonts w:ascii="Arial" w:cs="Arial" w:eastAsia="Arial" w:hAnsi="Arial"/>
          <w:sz w:val="24"/>
          <w:szCs w:val="24"/>
        </w:rPr>
        <w:t xml:space="preserve">5. Согласно статье 30 </w:t>
      </w:r>
      <w:hyperlink w:history="1" r:id="rIdyvojugkjyzcuqu1nonb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 В этой связи статью 2 законопроекта также необходимо привести в соответствие со статьей 30 вышеуказанного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frukbul_32ffbritrog">
      <w:r>
        <w:rPr>
          <w:rFonts w:ascii="Arial" w:cs="Arial" w:eastAsia="Arial" w:hAnsi="Arial"/>
          <w:color w:val="132D3F"/>
          <w:sz w:val="16"/>
          <w:szCs w:val="16"/>
          <w:u w:val="single"/>
        </w:rPr>
        <w:t xml:space="preserve">dalil.kg/document/158011</w:t>
      </w:r>
    </w:hyperlink>
  </w:p>
  <w:p>
    <w:pPr>
      <w:spacing w:after="0" w:before="40"/>
      <w:jc w:val="center"/>
    </w:pPr>
    <w:hyperlink w:history="1" r:id="rIdpgzm_yvej2q_38-cgbd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av78-fubldoxwlfwqlsa" Type="http://schemas.openxmlformats.org/officeDocument/2006/relationships/hyperlink" Target="https://dalil.kg/document/203685#st_31" TargetMode="External"/><Relationship Id="rIdgdh1uxx697rucsegh3obg" Type="http://schemas.openxmlformats.org/officeDocument/2006/relationships/hyperlink" Target="https://dalil.kg/document/158011#pr" TargetMode="External"/><Relationship Id="rIdnkxnfi_vfx0kzaloq5lz-" Type="http://schemas.openxmlformats.org/officeDocument/2006/relationships/hyperlink" Target="https://dalil.kg/document/202669" TargetMode="External"/><Relationship Id="rIdvuo1iicpqokzszppmzmis" Type="http://schemas.openxmlformats.org/officeDocument/2006/relationships/hyperlink" Target="https://dalil.kg/document/203685#st_31" TargetMode="External"/><Relationship Id="rIdmnyw86udmxe7mxdr5mqna" Type="http://schemas.openxmlformats.org/officeDocument/2006/relationships/hyperlink" Target="https://dalil.kg/document/202669" TargetMode="External"/><Relationship Id="rIdt8azgubfsqca3ditx--_v" Type="http://schemas.openxmlformats.org/officeDocument/2006/relationships/hyperlink" Target="https://dalil.kg/document/97019" TargetMode="External"/><Relationship Id="rIdwbauw6lldebfqita-_waw" Type="http://schemas.openxmlformats.org/officeDocument/2006/relationships/hyperlink" Target="https://dalil.kg/document/97018" TargetMode="External"/><Relationship Id="rIdyvojugkjyzcuqu1nonba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frukbul_32ffbritrog" Type="http://schemas.openxmlformats.org/officeDocument/2006/relationships/hyperlink" Target="https://dalil.kg/document/158011" TargetMode="External"/><Relationship Id="rIdpgzm_yvej2q_38-cgbd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2026-09-29T23:38:31.670Z</dcterms:created>
  <dcterms:modified xsi:type="dcterms:W3CDTF">2026-09-29T23:38:31.670Z</dcterms:modified>
</cp:coreProperties>
</file>

<file path=docProps/custom.xml><?xml version="1.0" encoding="utf-8"?>
<Properties xmlns="http://schemas.openxmlformats.org/officeDocument/2006/custom-properties" xmlns:vt="http://schemas.openxmlformats.org/officeDocument/2006/docPropsVTypes"/>
</file>